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86D61">
      <w:pPr>
        <w:spacing w:line="500" w:lineRule="exact"/>
        <w:jc w:val="center"/>
        <w:rPr>
          <w:b/>
          <w:color w:val="000000"/>
          <w:sz w:val="44"/>
          <w:szCs w:val="44"/>
          <w:lang w:val="zh-CN"/>
        </w:rPr>
      </w:pPr>
    </w:p>
    <w:p w14:paraId="26A3AA7D">
      <w:pPr>
        <w:jc w:val="center"/>
        <w:rPr>
          <w:color w:val="000000"/>
          <w:sz w:val="36"/>
        </w:rPr>
      </w:pPr>
    </w:p>
    <w:p w14:paraId="5282E9AE">
      <w:pPr>
        <w:jc w:val="center"/>
        <w:rPr>
          <w:color w:val="000000"/>
          <w:sz w:val="36"/>
        </w:rPr>
      </w:pPr>
    </w:p>
    <w:p w14:paraId="4E955793">
      <w:pPr>
        <w:spacing w:line="360" w:lineRule="auto"/>
        <w:jc w:val="center"/>
        <w:outlineLvl w:val="0"/>
        <w:rPr>
          <w:rFonts w:hint="eastAsia" w:eastAsia="黑体"/>
          <w:color w:val="000000"/>
          <w:w w:val="90"/>
          <w:kern w:val="0"/>
          <w:sz w:val="44"/>
          <w:szCs w:val="44"/>
          <w:lang w:eastAsia="zh-CN"/>
        </w:rPr>
      </w:pPr>
      <w:r>
        <w:rPr>
          <w:rFonts w:hAnsi="黑体" w:eastAsia="黑体"/>
          <w:color w:val="000000"/>
          <w:w w:val="90"/>
          <w:kern w:val="0"/>
          <w:sz w:val="44"/>
          <w:szCs w:val="44"/>
        </w:rPr>
        <w:t>南通市生态环境局</w:t>
      </w:r>
      <w:r>
        <w:rPr>
          <w:rFonts w:eastAsia="黑体"/>
          <w:color w:val="000000"/>
          <w:w w:val="90"/>
          <w:kern w:val="0"/>
          <w:sz w:val="44"/>
          <w:szCs w:val="44"/>
        </w:rPr>
        <w:t>202</w:t>
      </w:r>
      <w:r>
        <w:rPr>
          <w:rFonts w:hint="eastAsia" w:eastAsia="黑体"/>
          <w:color w:val="000000"/>
          <w:w w:val="90"/>
          <w:kern w:val="0"/>
          <w:sz w:val="44"/>
          <w:szCs w:val="44"/>
          <w:lang w:val="en-US" w:eastAsia="zh-CN"/>
        </w:rPr>
        <w:t>5</w:t>
      </w:r>
      <w:r>
        <w:rPr>
          <w:rFonts w:hAnsi="黑体" w:eastAsia="黑体"/>
          <w:color w:val="000000"/>
          <w:w w:val="90"/>
          <w:kern w:val="0"/>
          <w:sz w:val="44"/>
          <w:szCs w:val="44"/>
        </w:rPr>
        <w:t>年度生态环境损害赔偿工作第三方技术服务项目</w:t>
      </w:r>
      <w:r>
        <w:rPr>
          <w:rFonts w:hint="eastAsia" w:hAnsi="黑体" w:eastAsia="黑体"/>
          <w:color w:val="000000"/>
          <w:w w:val="90"/>
          <w:kern w:val="0"/>
          <w:sz w:val="44"/>
          <w:szCs w:val="44"/>
          <w:lang w:eastAsia="zh-CN"/>
        </w:rPr>
        <w:t>（</w:t>
      </w:r>
      <w:r>
        <w:rPr>
          <w:rFonts w:hint="eastAsia" w:hAnsi="黑体" w:eastAsia="黑体"/>
          <w:color w:val="000000"/>
          <w:w w:val="90"/>
          <w:kern w:val="0"/>
          <w:sz w:val="44"/>
          <w:szCs w:val="44"/>
          <w:lang w:val="en-US" w:eastAsia="zh-CN"/>
        </w:rPr>
        <w:t>二次</w:t>
      </w:r>
      <w:r>
        <w:rPr>
          <w:rFonts w:hint="eastAsia" w:hAnsi="黑体" w:eastAsia="黑体"/>
          <w:color w:val="000000"/>
          <w:w w:val="90"/>
          <w:kern w:val="0"/>
          <w:sz w:val="44"/>
          <w:szCs w:val="44"/>
          <w:lang w:eastAsia="zh-CN"/>
        </w:rPr>
        <w:t>）</w:t>
      </w:r>
    </w:p>
    <w:p w14:paraId="734671BF">
      <w:pPr>
        <w:spacing w:line="360" w:lineRule="auto"/>
        <w:jc w:val="center"/>
        <w:rPr>
          <w:rFonts w:eastAsia="黑体"/>
          <w:color w:val="000000"/>
          <w:w w:val="90"/>
          <w:kern w:val="0"/>
          <w:sz w:val="44"/>
          <w:szCs w:val="44"/>
        </w:rPr>
      </w:pPr>
    </w:p>
    <w:p w14:paraId="1C157FE2">
      <w:pPr>
        <w:jc w:val="center"/>
        <w:rPr>
          <w:color w:val="000000"/>
          <w:sz w:val="28"/>
        </w:rPr>
      </w:pPr>
    </w:p>
    <w:p w14:paraId="4ED941C2">
      <w:pPr>
        <w:jc w:val="center"/>
        <w:rPr>
          <w:color w:val="000000"/>
          <w:w w:val="150"/>
          <w:sz w:val="44"/>
          <w:szCs w:val="44"/>
        </w:rPr>
      </w:pPr>
      <w:r>
        <w:rPr>
          <w:rFonts w:hAnsi="宋体"/>
          <w:color w:val="000000"/>
          <w:w w:val="150"/>
          <w:sz w:val="44"/>
          <w:szCs w:val="44"/>
        </w:rPr>
        <w:t>竞争性磋商文件</w:t>
      </w:r>
    </w:p>
    <w:p w14:paraId="0D3E5171">
      <w:pPr>
        <w:jc w:val="center"/>
        <w:rPr>
          <w:color w:val="000000"/>
          <w:sz w:val="30"/>
          <w:szCs w:val="30"/>
        </w:rPr>
      </w:pPr>
    </w:p>
    <w:p w14:paraId="4876D0E4">
      <w:pPr>
        <w:jc w:val="center"/>
        <w:rPr>
          <w:rFonts w:hint="default" w:eastAsia="宋体"/>
          <w:color w:val="000000"/>
          <w:sz w:val="30"/>
          <w:szCs w:val="30"/>
          <w:lang w:val="en-US" w:eastAsia="zh-CN"/>
        </w:rPr>
      </w:pPr>
      <w:r>
        <w:rPr>
          <w:color w:val="000000"/>
          <w:sz w:val="30"/>
          <w:szCs w:val="30"/>
        </w:rPr>
        <w:t>项目编号：</w:t>
      </w:r>
      <w:r>
        <w:rPr>
          <w:rFonts w:hint="eastAsia"/>
          <w:color w:val="000000"/>
          <w:sz w:val="30"/>
          <w:szCs w:val="30"/>
          <w:lang w:val="en-US" w:eastAsia="zh-CN"/>
        </w:rPr>
        <w:t>JSXDF2025062401</w:t>
      </w:r>
    </w:p>
    <w:p w14:paraId="7EDBAC9A">
      <w:pPr>
        <w:jc w:val="center"/>
        <w:rPr>
          <w:color w:val="000000"/>
          <w:sz w:val="28"/>
        </w:rPr>
      </w:pPr>
    </w:p>
    <w:p w14:paraId="1C9CB41A">
      <w:pPr>
        <w:jc w:val="center"/>
        <w:rPr>
          <w:color w:val="000000"/>
          <w:sz w:val="28"/>
        </w:rPr>
      </w:pPr>
    </w:p>
    <w:p w14:paraId="067775A1">
      <w:pPr>
        <w:jc w:val="center"/>
        <w:rPr>
          <w:color w:val="000000"/>
          <w:sz w:val="28"/>
        </w:rPr>
      </w:pPr>
    </w:p>
    <w:p w14:paraId="21066FBC">
      <w:pPr>
        <w:jc w:val="center"/>
        <w:rPr>
          <w:color w:val="000000"/>
          <w:sz w:val="28"/>
        </w:rPr>
      </w:pPr>
    </w:p>
    <w:p w14:paraId="7E8ADC28">
      <w:pPr>
        <w:jc w:val="center"/>
        <w:rPr>
          <w:color w:val="000000"/>
          <w:sz w:val="28"/>
        </w:rPr>
      </w:pPr>
    </w:p>
    <w:p w14:paraId="79D0F1E2">
      <w:pPr>
        <w:spacing w:line="500" w:lineRule="exact"/>
        <w:jc w:val="center"/>
        <w:rPr>
          <w:rFonts w:eastAsia="仿宋_GB2312"/>
          <w:b/>
          <w:color w:val="000000"/>
          <w:sz w:val="36"/>
          <w:szCs w:val="36"/>
        </w:rPr>
      </w:pPr>
    </w:p>
    <w:p w14:paraId="7E920A64">
      <w:pPr>
        <w:spacing w:line="500" w:lineRule="exact"/>
        <w:jc w:val="center"/>
        <w:rPr>
          <w:rFonts w:eastAsia="仿宋_GB2312"/>
          <w:b/>
          <w:color w:val="000000"/>
          <w:sz w:val="36"/>
          <w:szCs w:val="36"/>
        </w:rPr>
      </w:pPr>
    </w:p>
    <w:p w14:paraId="6CE6C1F2">
      <w:pPr>
        <w:spacing w:line="500" w:lineRule="exact"/>
        <w:jc w:val="center"/>
        <w:rPr>
          <w:rFonts w:eastAsia="仿宋_GB2312"/>
          <w:b/>
          <w:color w:val="000000"/>
          <w:sz w:val="36"/>
          <w:szCs w:val="36"/>
        </w:rPr>
      </w:pPr>
    </w:p>
    <w:p w14:paraId="2832CEAF">
      <w:pPr>
        <w:spacing w:line="500" w:lineRule="exact"/>
        <w:jc w:val="center"/>
        <w:rPr>
          <w:rFonts w:eastAsia="仿宋_GB2312"/>
          <w:b/>
          <w:color w:val="000000"/>
          <w:sz w:val="36"/>
          <w:szCs w:val="36"/>
        </w:rPr>
      </w:pPr>
    </w:p>
    <w:p w14:paraId="393ACE5E">
      <w:pPr>
        <w:spacing w:line="500" w:lineRule="exact"/>
        <w:jc w:val="center"/>
        <w:rPr>
          <w:color w:val="000000"/>
          <w:sz w:val="36"/>
          <w:szCs w:val="36"/>
        </w:rPr>
      </w:pPr>
      <w:r>
        <w:rPr>
          <w:rFonts w:hAnsi="宋体"/>
          <w:color w:val="000000"/>
          <w:sz w:val="36"/>
          <w:szCs w:val="36"/>
        </w:rPr>
        <w:t>二〇二</w:t>
      </w:r>
      <w:r>
        <w:rPr>
          <w:rFonts w:hint="eastAsia" w:hAnsi="宋体"/>
          <w:color w:val="000000"/>
          <w:sz w:val="36"/>
          <w:szCs w:val="36"/>
          <w:lang w:val="en-US" w:eastAsia="zh-CN"/>
        </w:rPr>
        <w:t>五</w:t>
      </w:r>
      <w:r>
        <w:rPr>
          <w:rFonts w:hAnsi="宋体"/>
          <w:color w:val="000000"/>
          <w:sz w:val="36"/>
          <w:szCs w:val="36"/>
        </w:rPr>
        <w:t>年</w:t>
      </w:r>
      <w:r>
        <w:rPr>
          <w:rFonts w:hint="eastAsia" w:hAnsi="宋体"/>
          <w:color w:val="000000"/>
          <w:sz w:val="36"/>
          <w:szCs w:val="36"/>
          <w:lang w:val="en-US" w:eastAsia="zh-CN"/>
        </w:rPr>
        <w:t>七</w:t>
      </w:r>
      <w:r>
        <w:rPr>
          <w:rFonts w:hAnsi="宋体"/>
          <w:color w:val="000000"/>
          <w:sz w:val="36"/>
          <w:szCs w:val="36"/>
        </w:rPr>
        <w:t>月</w:t>
      </w:r>
    </w:p>
    <w:p w14:paraId="71906F4A">
      <w:pPr>
        <w:spacing w:line="500" w:lineRule="exact"/>
        <w:jc w:val="center"/>
        <w:rPr>
          <w:snapToGrid w:val="0"/>
          <w:color w:val="000000"/>
          <w:sz w:val="26"/>
          <w:szCs w:val="26"/>
        </w:rPr>
      </w:pPr>
    </w:p>
    <w:p w14:paraId="44F34EAD">
      <w:pPr>
        <w:spacing w:line="500" w:lineRule="exact"/>
        <w:jc w:val="center"/>
        <w:outlineLvl w:val="0"/>
        <w:rPr>
          <w:b/>
          <w:color w:val="000000"/>
          <w:w w:val="150"/>
          <w:sz w:val="38"/>
          <w:szCs w:val="38"/>
        </w:rPr>
      </w:pPr>
      <w:r>
        <w:rPr>
          <w:rFonts w:hAnsi="宋体"/>
          <w:b/>
          <w:color w:val="000000"/>
          <w:w w:val="150"/>
          <w:sz w:val="38"/>
          <w:szCs w:val="38"/>
        </w:rPr>
        <w:br w:type="page"/>
      </w:r>
      <w:r>
        <w:rPr>
          <w:rFonts w:hAnsi="宋体"/>
          <w:b/>
          <w:color w:val="000000"/>
          <w:w w:val="150"/>
          <w:sz w:val="38"/>
          <w:szCs w:val="38"/>
        </w:rPr>
        <w:t>目</w:t>
      </w:r>
      <w:r>
        <w:rPr>
          <w:b/>
          <w:color w:val="000000"/>
          <w:w w:val="150"/>
          <w:sz w:val="38"/>
          <w:szCs w:val="38"/>
        </w:rPr>
        <w:t xml:space="preserve">  </w:t>
      </w:r>
      <w:r>
        <w:rPr>
          <w:rFonts w:hAnsi="宋体"/>
          <w:b/>
          <w:color w:val="000000"/>
          <w:w w:val="150"/>
          <w:sz w:val="38"/>
          <w:szCs w:val="38"/>
        </w:rPr>
        <w:t>录</w:t>
      </w:r>
    </w:p>
    <w:p w14:paraId="298A7043">
      <w:pPr>
        <w:tabs>
          <w:tab w:val="left" w:pos="7740"/>
        </w:tabs>
        <w:spacing w:line="360" w:lineRule="auto"/>
        <w:rPr>
          <w:snapToGrid w:val="0"/>
          <w:color w:val="000000"/>
          <w:sz w:val="26"/>
          <w:szCs w:val="26"/>
        </w:rPr>
      </w:pPr>
    </w:p>
    <w:p w14:paraId="2E15F370">
      <w:pPr>
        <w:tabs>
          <w:tab w:val="left" w:pos="7740"/>
        </w:tabs>
        <w:spacing w:line="360" w:lineRule="auto"/>
        <w:rPr>
          <w:bCs/>
          <w:color w:val="000000"/>
          <w:sz w:val="32"/>
          <w:szCs w:val="32"/>
        </w:rPr>
      </w:pPr>
      <w:r>
        <w:rPr>
          <w:rFonts w:hAnsi="宋体"/>
          <w:bCs/>
          <w:color w:val="000000"/>
          <w:sz w:val="32"/>
          <w:szCs w:val="32"/>
        </w:rPr>
        <w:t>第一部分</w:t>
      </w:r>
      <w:r>
        <w:rPr>
          <w:bCs/>
          <w:color w:val="000000"/>
          <w:sz w:val="32"/>
          <w:szCs w:val="32"/>
        </w:rPr>
        <w:t xml:space="preserve">  </w:t>
      </w:r>
      <w:r>
        <w:rPr>
          <w:rFonts w:hAnsi="宋体"/>
          <w:bCs/>
          <w:color w:val="000000"/>
          <w:sz w:val="32"/>
          <w:szCs w:val="32"/>
        </w:rPr>
        <w:t>竞争性磋商公告</w:t>
      </w:r>
    </w:p>
    <w:p w14:paraId="29D6B9DB">
      <w:pPr>
        <w:tabs>
          <w:tab w:val="left" w:pos="7740"/>
        </w:tabs>
        <w:spacing w:line="360" w:lineRule="auto"/>
        <w:rPr>
          <w:bCs/>
          <w:color w:val="000000"/>
          <w:sz w:val="32"/>
          <w:szCs w:val="32"/>
        </w:rPr>
      </w:pPr>
      <w:r>
        <w:rPr>
          <w:rFonts w:hAnsi="宋体"/>
          <w:bCs/>
          <w:color w:val="000000"/>
          <w:sz w:val="32"/>
          <w:szCs w:val="32"/>
        </w:rPr>
        <w:t>第二部分</w:t>
      </w:r>
      <w:r>
        <w:rPr>
          <w:bCs/>
          <w:color w:val="000000"/>
          <w:sz w:val="32"/>
          <w:szCs w:val="32"/>
        </w:rPr>
        <w:t xml:space="preserve">  </w:t>
      </w:r>
      <w:r>
        <w:rPr>
          <w:rFonts w:hAnsi="宋体"/>
          <w:bCs/>
          <w:color w:val="000000"/>
          <w:sz w:val="32"/>
          <w:szCs w:val="32"/>
        </w:rPr>
        <w:t>磋商须知</w:t>
      </w:r>
    </w:p>
    <w:p w14:paraId="36263B07">
      <w:pPr>
        <w:tabs>
          <w:tab w:val="left" w:pos="7740"/>
        </w:tabs>
        <w:spacing w:line="360" w:lineRule="auto"/>
        <w:rPr>
          <w:bCs/>
          <w:color w:val="000000"/>
          <w:sz w:val="32"/>
          <w:szCs w:val="32"/>
        </w:rPr>
      </w:pPr>
      <w:r>
        <w:rPr>
          <w:rFonts w:hAnsi="宋体"/>
          <w:bCs/>
          <w:color w:val="000000"/>
          <w:sz w:val="32"/>
          <w:szCs w:val="32"/>
        </w:rPr>
        <w:t>第三部分</w:t>
      </w:r>
      <w:r>
        <w:rPr>
          <w:bCs/>
          <w:color w:val="000000"/>
          <w:sz w:val="32"/>
          <w:szCs w:val="32"/>
        </w:rPr>
        <w:t xml:space="preserve">  </w:t>
      </w:r>
      <w:r>
        <w:rPr>
          <w:rFonts w:hAnsi="宋体"/>
          <w:bCs/>
          <w:color w:val="000000"/>
          <w:sz w:val="32"/>
          <w:szCs w:val="32"/>
        </w:rPr>
        <w:t>项目需求说明</w:t>
      </w:r>
    </w:p>
    <w:p w14:paraId="61F06D1A">
      <w:pPr>
        <w:tabs>
          <w:tab w:val="left" w:pos="7740"/>
        </w:tabs>
        <w:spacing w:line="360" w:lineRule="auto"/>
        <w:rPr>
          <w:bCs/>
          <w:color w:val="000000"/>
          <w:sz w:val="32"/>
          <w:szCs w:val="32"/>
        </w:rPr>
      </w:pPr>
      <w:r>
        <w:rPr>
          <w:rFonts w:hAnsi="宋体"/>
          <w:bCs/>
          <w:color w:val="000000"/>
          <w:sz w:val="32"/>
          <w:szCs w:val="32"/>
        </w:rPr>
        <w:t>第四部分</w:t>
      </w:r>
      <w:r>
        <w:rPr>
          <w:bCs/>
          <w:color w:val="000000"/>
          <w:sz w:val="32"/>
          <w:szCs w:val="32"/>
        </w:rPr>
        <w:t xml:space="preserve">  </w:t>
      </w:r>
      <w:r>
        <w:rPr>
          <w:rFonts w:hAnsi="宋体"/>
          <w:bCs/>
          <w:color w:val="000000"/>
          <w:sz w:val="32"/>
          <w:szCs w:val="32"/>
        </w:rPr>
        <w:t>磋商程序和内容</w:t>
      </w:r>
    </w:p>
    <w:p w14:paraId="5EC59F95">
      <w:pPr>
        <w:tabs>
          <w:tab w:val="left" w:pos="7740"/>
        </w:tabs>
        <w:spacing w:line="360" w:lineRule="auto"/>
        <w:rPr>
          <w:bCs/>
          <w:color w:val="000000"/>
          <w:sz w:val="32"/>
          <w:szCs w:val="32"/>
        </w:rPr>
      </w:pPr>
      <w:r>
        <w:rPr>
          <w:rFonts w:hAnsi="宋体"/>
          <w:bCs/>
          <w:color w:val="000000"/>
          <w:sz w:val="32"/>
          <w:szCs w:val="32"/>
        </w:rPr>
        <w:t>第五部分</w:t>
      </w:r>
      <w:r>
        <w:rPr>
          <w:bCs/>
          <w:color w:val="000000"/>
          <w:sz w:val="32"/>
          <w:szCs w:val="32"/>
        </w:rPr>
        <w:t xml:space="preserve">  </w:t>
      </w:r>
      <w:r>
        <w:rPr>
          <w:rFonts w:hAnsi="宋体"/>
          <w:bCs/>
          <w:color w:val="000000"/>
          <w:sz w:val="32"/>
          <w:szCs w:val="32"/>
        </w:rPr>
        <w:t>合同及履约保证</w:t>
      </w:r>
    </w:p>
    <w:p w14:paraId="7DB5330D">
      <w:pPr>
        <w:tabs>
          <w:tab w:val="left" w:pos="7740"/>
        </w:tabs>
        <w:spacing w:line="360" w:lineRule="auto"/>
        <w:rPr>
          <w:bCs/>
          <w:color w:val="000000"/>
          <w:sz w:val="32"/>
          <w:szCs w:val="32"/>
        </w:rPr>
      </w:pPr>
      <w:r>
        <w:rPr>
          <w:rFonts w:hAnsi="宋体"/>
          <w:bCs/>
          <w:color w:val="000000"/>
          <w:sz w:val="32"/>
          <w:szCs w:val="32"/>
        </w:rPr>
        <w:t>第六部分</w:t>
      </w:r>
      <w:r>
        <w:rPr>
          <w:bCs/>
          <w:color w:val="000000"/>
          <w:sz w:val="32"/>
          <w:szCs w:val="32"/>
        </w:rPr>
        <w:t xml:space="preserve">  </w:t>
      </w:r>
      <w:r>
        <w:rPr>
          <w:rFonts w:hAnsi="宋体"/>
          <w:bCs/>
          <w:color w:val="000000"/>
          <w:sz w:val="32"/>
          <w:szCs w:val="32"/>
        </w:rPr>
        <w:t>质疑提出和处理</w:t>
      </w:r>
    </w:p>
    <w:p w14:paraId="422B0BCD">
      <w:pPr>
        <w:tabs>
          <w:tab w:val="left" w:pos="7740"/>
        </w:tabs>
        <w:spacing w:line="360" w:lineRule="auto"/>
        <w:rPr>
          <w:bCs/>
          <w:color w:val="000000"/>
          <w:sz w:val="32"/>
          <w:szCs w:val="32"/>
        </w:rPr>
      </w:pPr>
      <w:r>
        <w:rPr>
          <w:rFonts w:hAnsi="宋体"/>
          <w:bCs/>
          <w:color w:val="000000"/>
          <w:sz w:val="32"/>
          <w:szCs w:val="32"/>
        </w:rPr>
        <w:t>第七部分</w:t>
      </w:r>
      <w:r>
        <w:rPr>
          <w:bCs/>
          <w:color w:val="000000"/>
          <w:sz w:val="32"/>
          <w:szCs w:val="32"/>
        </w:rPr>
        <w:t xml:space="preserve">  </w:t>
      </w:r>
      <w:r>
        <w:rPr>
          <w:rFonts w:hAnsi="宋体"/>
          <w:bCs/>
          <w:color w:val="000000"/>
          <w:sz w:val="32"/>
          <w:szCs w:val="32"/>
        </w:rPr>
        <w:t>响应文件组成</w:t>
      </w:r>
    </w:p>
    <w:p w14:paraId="0FEF43A7">
      <w:pPr>
        <w:tabs>
          <w:tab w:val="left" w:pos="7740"/>
        </w:tabs>
        <w:spacing w:line="500" w:lineRule="exact"/>
        <w:rPr>
          <w:rFonts w:eastAsia="楷体_GB2312"/>
          <w:b/>
          <w:color w:val="000000"/>
          <w:spacing w:val="2"/>
          <w:sz w:val="32"/>
          <w:szCs w:val="32"/>
        </w:rPr>
      </w:pPr>
    </w:p>
    <w:p w14:paraId="74D0417E">
      <w:pPr>
        <w:spacing w:line="500" w:lineRule="exact"/>
        <w:rPr>
          <w:color w:val="000000"/>
          <w:sz w:val="32"/>
          <w:szCs w:val="32"/>
        </w:rPr>
      </w:pPr>
    </w:p>
    <w:p w14:paraId="6587D894">
      <w:pPr>
        <w:adjustRightInd w:val="0"/>
        <w:snapToGrid w:val="0"/>
        <w:ind w:left="-158" w:leftChars="-75" w:right="-601" w:rightChars="-286"/>
        <w:rPr>
          <w:rFonts w:eastAsia="仿宋_GB2312"/>
          <w:b/>
          <w:color w:val="000000"/>
          <w:sz w:val="48"/>
          <w:szCs w:val="48"/>
        </w:rPr>
      </w:pPr>
    </w:p>
    <w:p w14:paraId="6EBFE391">
      <w:pPr>
        <w:jc w:val="center"/>
        <w:rPr>
          <w:b/>
          <w:color w:val="000000"/>
          <w:sz w:val="36"/>
          <w:szCs w:val="36"/>
        </w:rPr>
        <w:sectPr>
          <w:footerReference r:id="rId3" w:type="default"/>
          <w:pgSz w:w="11906" w:h="16838"/>
          <w:pgMar w:top="1440" w:right="1700" w:bottom="1440" w:left="1800" w:header="851" w:footer="992" w:gutter="0"/>
          <w:cols w:space="720" w:num="1"/>
          <w:docGrid w:type="lines" w:linePitch="312" w:charSpace="0"/>
        </w:sectPr>
      </w:pPr>
    </w:p>
    <w:p w14:paraId="7499DC55">
      <w:pPr>
        <w:jc w:val="center"/>
        <w:outlineLvl w:val="0"/>
        <w:rPr>
          <w:b/>
          <w:color w:val="000000"/>
          <w:sz w:val="36"/>
          <w:szCs w:val="36"/>
        </w:rPr>
      </w:pPr>
      <w:r>
        <w:rPr>
          <w:rFonts w:hAnsi="宋体"/>
          <w:b/>
          <w:color w:val="000000"/>
          <w:sz w:val="36"/>
          <w:szCs w:val="36"/>
        </w:rPr>
        <w:t>第一部分</w:t>
      </w:r>
      <w:r>
        <w:rPr>
          <w:b/>
          <w:color w:val="000000"/>
          <w:sz w:val="36"/>
          <w:szCs w:val="36"/>
        </w:rPr>
        <w:t xml:space="preserve"> </w:t>
      </w:r>
      <w:r>
        <w:rPr>
          <w:rFonts w:hAnsi="宋体"/>
          <w:b/>
          <w:color w:val="000000"/>
          <w:sz w:val="36"/>
          <w:szCs w:val="36"/>
        </w:rPr>
        <w:t>竞争性磋商公告</w:t>
      </w:r>
    </w:p>
    <w:p w14:paraId="448D10A1">
      <w:pPr>
        <w:snapToGrid w:val="0"/>
        <w:spacing w:line="360" w:lineRule="auto"/>
        <w:ind w:firstLine="480" w:firstLineChars="200"/>
        <w:jc w:val="left"/>
        <w:rPr>
          <w:color w:val="000000"/>
          <w:sz w:val="24"/>
          <w:lang w:val="zh-CN"/>
        </w:rPr>
      </w:pPr>
      <w:bookmarkStart w:id="0" w:name="_Toc387526364"/>
      <w:bookmarkStart w:id="1" w:name="_Toc387526272"/>
      <w:bookmarkStart w:id="2" w:name="_Toc12939"/>
      <w:bookmarkStart w:id="3" w:name="_Toc387526168"/>
      <w:bookmarkStart w:id="4" w:name="OLE_LINK3"/>
      <w:bookmarkStart w:id="5" w:name="OLE_LINK4"/>
      <w:bookmarkStart w:id="6" w:name="OLE_LINK1"/>
      <w:r>
        <w:rPr>
          <w:rFonts w:hint="eastAsia"/>
          <w:color w:val="000000"/>
          <w:sz w:val="24"/>
          <w:lang w:val="zh-CN"/>
        </w:rPr>
        <w:t>江苏新东方工程管理咨询有限公司</w:t>
      </w:r>
      <w:r>
        <w:rPr>
          <w:color w:val="000000"/>
          <w:sz w:val="24"/>
          <w:lang w:val="zh-CN"/>
        </w:rPr>
        <w:t>受南通市生态环境局</w:t>
      </w:r>
      <w:r>
        <w:rPr>
          <w:rFonts w:hint="eastAsia"/>
          <w:color w:val="000000"/>
          <w:sz w:val="24"/>
          <w:lang w:val="zh-CN"/>
        </w:rPr>
        <w:t>（</w:t>
      </w:r>
      <w:r>
        <w:rPr>
          <w:color w:val="000000"/>
          <w:sz w:val="24"/>
          <w:lang w:val="zh-CN"/>
        </w:rPr>
        <w:t>下称采购人</w:t>
      </w:r>
      <w:r>
        <w:rPr>
          <w:rFonts w:hint="eastAsia"/>
          <w:color w:val="000000"/>
          <w:sz w:val="24"/>
          <w:lang w:val="zh-CN"/>
        </w:rPr>
        <w:t>）</w:t>
      </w:r>
      <w:r>
        <w:rPr>
          <w:color w:val="000000"/>
          <w:sz w:val="24"/>
          <w:lang w:val="zh-CN"/>
        </w:rPr>
        <w:t>委托，就南通市生态环境局202</w:t>
      </w:r>
      <w:r>
        <w:rPr>
          <w:rFonts w:hint="eastAsia"/>
          <w:color w:val="000000"/>
          <w:sz w:val="24"/>
          <w:lang w:val="en-US" w:eastAsia="zh-CN"/>
        </w:rPr>
        <w:t>5</w:t>
      </w:r>
      <w:r>
        <w:rPr>
          <w:color w:val="000000"/>
          <w:sz w:val="24"/>
          <w:lang w:val="zh-CN"/>
        </w:rPr>
        <w:t>年度生态环境损害赔偿工作第三方技术服务项目</w:t>
      </w:r>
      <w:r>
        <w:rPr>
          <w:rFonts w:hint="eastAsia"/>
          <w:color w:val="000000"/>
          <w:sz w:val="24"/>
          <w:lang w:val="zh-CN"/>
        </w:rPr>
        <w:t>（</w:t>
      </w:r>
      <w:r>
        <w:rPr>
          <w:rFonts w:hint="eastAsia"/>
          <w:color w:val="000000"/>
          <w:sz w:val="24"/>
          <w:lang w:val="en-US" w:eastAsia="zh-CN"/>
        </w:rPr>
        <w:t>二次</w:t>
      </w:r>
      <w:r>
        <w:rPr>
          <w:rFonts w:hint="eastAsia"/>
          <w:color w:val="000000"/>
          <w:sz w:val="24"/>
          <w:lang w:val="zh-CN"/>
        </w:rPr>
        <w:t>）</w:t>
      </w:r>
      <w:r>
        <w:rPr>
          <w:color w:val="000000"/>
          <w:sz w:val="24"/>
          <w:lang w:val="zh-CN"/>
        </w:rPr>
        <w:t>实施竞争性磋商方式组织采购，现公告如下：</w:t>
      </w:r>
    </w:p>
    <w:p w14:paraId="746F61D4">
      <w:pPr>
        <w:spacing w:line="360" w:lineRule="auto"/>
        <w:ind w:firstLine="480" w:firstLineChars="200"/>
        <w:jc w:val="left"/>
        <w:rPr>
          <w:color w:val="000000"/>
          <w:sz w:val="24"/>
        </w:rPr>
      </w:pPr>
      <w:r>
        <w:rPr>
          <w:color w:val="000000"/>
          <w:sz w:val="24"/>
        </w:rPr>
        <w:t>一、项目基本情况</w:t>
      </w:r>
    </w:p>
    <w:p w14:paraId="1771BA17">
      <w:pPr>
        <w:spacing w:line="360" w:lineRule="auto"/>
        <w:ind w:firstLine="480" w:firstLineChars="200"/>
        <w:jc w:val="left"/>
        <w:rPr>
          <w:rFonts w:hint="default"/>
          <w:color w:val="000000"/>
          <w:sz w:val="24"/>
          <w:lang w:val="en-US"/>
        </w:rPr>
      </w:pPr>
      <w:r>
        <w:rPr>
          <w:color w:val="000000"/>
          <w:sz w:val="24"/>
        </w:rPr>
        <w:t>1、项目编号：</w:t>
      </w:r>
      <w:r>
        <w:rPr>
          <w:rFonts w:hint="eastAsia" w:ascii="Times New Roman" w:hAnsi="Times New Roman" w:eastAsia="宋体" w:cs="Times New Roman"/>
          <w:color w:val="000000"/>
          <w:sz w:val="24"/>
          <w:lang w:val="en-US" w:eastAsia="zh-CN"/>
        </w:rPr>
        <w:t>JSXDF202</w:t>
      </w:r>
      <w:r>
        <w:rPr>
          <w:rFonts w:hint="eastAsia" w:cs="Times New Roman"/>
          <w:color w:val="000000"/>
          <w:sz w:val="24"/>
          <w:lang w:val="en-US" w:eastAsia="zh-CN"/>
        </w:rPr>
        <w:t>5</w:t>
      </w:r>
      <w:r>
        <w:rPr>
          <w:rFonts w:hint="eastAsia" w:ascii="Times New Roman" w:hAnsi="Times New Roman" w:eastAsia="宋体" w:cs="Times New Roman"/>
          <w:color w:val="000000"/>
          <w:sz w:val="24"/>
          <w:lang w:val="en-US" w:eastAsia="zh-CN"/>
        </w:rPr>
        <w:t>06</w:t>
      </w:r>
      <w:r>
        <w:rPr>
          <w:rFonts w:hint="eastAsia" w:cs="Times New Roman"/>
          <w:color w:val="000000"/>
          <w:sz w:val="24"/>
          <w:lang w:val="en-US" w:eastAsia="zh-CN"/>
        </w:rPr>
        <w:t>2401</w:t>
      </w:r>
    </w:p>
    <w:p w14:paraId="44305953">
      <w:pPr>
        <w:spacing w:line="360" w:lineRule="auto"/>
        <w:ind w:firstLine="480" w:firstLineChars="200"/>
        <w:jc w:val="left"/>
        <w:rPr>
          <w:rFonts w:hint="eastAsia" w:eastAsia="宋体"/>
          <w:color w:val="000000"/>
          <w:sz w:val="24"/>
          <w:lang w:eastAsia="zh-CN"/>
        </w:rPr>
      </w:pPr>
      <w:r>
        <w:rPr>
          <w:color w:val="000000"/>
          <w:sz w:val="24"/>
        </w:rPr>
        <w:t>2、项目名称：南通市生态环境局</w:t>
      </w:r>
      <w:r>
        <w:rPr>
          <w:rFonts w:hint="eastAsia"/>
          <w:color w:val="000000"/>
          <w:sz w:val="24"/>
          <w:lang w:eastAsia="zh-CN"/>
        </w:rPr>
        <w:t>2025</w:t>
      </w:r>
      <w:r>
        <w:rPr>
          <w:color w:val="000000"/>
          <w:sz w:val="24"/>
        </w:rPr>
        <w:t>年度生态环境损害赔偿工作第三方技术服务项目</w:t>
      </w:r>
      <w:r>
        <w:rPr>
          <w:rFonts w:hint="eastAsia"/>
          <w:color w:val="000000"/>
          <w:sz w:val="24"/>
          <w:lang w:eastAsia="zh-CN"/>
        </w:rPr>
        <w:t>（</w:t>
      </w:r>
      <w:r>
        <w:rPr>
          <w:rFonts w:hint="eastAsia"/>
          <w:color w:val="000000"/>
          <w:sz w:val="24"/>
          <w:lang w:val="en-US" w:eastAsia="zh-CN"/>
        </w:rPr>
        <w:t>二次</w:t>
      </w:r>
      <w:bookmarkStart w:id="39" w:name="_GoBack"/>
      <w:bookmarkEnd w:id="39"/>
      <w:r>
        <w:rPr>
          <w:rFonts w:hint="eastAsia"/>
          <w:color w:val="000000"/>
          <w:sz w:val="24"/>
          <w:lang w:eastAsia="zh-CN"/>
        </w:rPr>
        <w:t>）</w:t>
      </w:r>
    </w:p>
    <w:p w14:paraId="54C4333C">
      <w:pPr>
        <w:spacing w:line="360" w:lineRule="auto"/>
        <w:ind w:firstLine="480" w:firstLineChars="200"/>
        <w:jc w:val="left"/>
        <w:rPr>
          <w:sz w:val="24"/>
        </w:rPr>
      </w:pPr>
      <w:r>
        <w:rPr>
          <w:sz w:val="24"/>
        </w:rPr>
        <w:t>3、采购方式：竞争性磋商</w:t>
      </w:r>
    </w:p>
    <w:p w14:paraId="5B07AAF9">
      <w:pPr>
        <w:spacing w:line="360" w:lineRule="auto"/>
        <w:ind w:firstLine="480" w:firstLineChars="200"/>
        <w:jc w:val="left"/>
        <w:rPr>
          <w:color w:val="000000"/>
          <w:sz w:val="24"/>
        </w:rPr>
      </w:pPr>
      <w:r>
        <w:rPr>
          <w:color w:val="000000"/>
          <w:sz w:val="24"/>
        </w:rPr>
        <w:t>4、预算金额：</w:t>
      </w:r>
      <w:r>
        <w:rPr>
          <w:rFonts w:hint="eastAsia"/>
          <w:color w:val="000000"/>
          <w:sz w:val="24"/>
          <w:lang w:val="en-US" w:eastAsia="zh-CN"/>
        </w:rPr>
        <w:t>20</w:t>
      </w:r>
      <w:r>
        <w:rPr>
          <w:color w:val="000000"/>
          <w:sz w:val="24"/>
        </w:rPr>
        <w:t>万元人民币</w:t>
      </w:r>
      <w:bookmarkEnd w:id="0"/>
      <w:bookmarkEnd w:id="1"/>
      <w:bookmarkEnd w:id="2"/>
      <w:bookmarkEnd w:id="3"/>
      <w:bookmarkStart w:id="7" w:name="_Toc387526169"/>
      <w:bookmarkStart w:id="8" w:name="_Toc20597"/>
      <w:bookmarkStart w:id="9" w:name="_Toc387526365"/>
      <w:bookmarkStart w:id="10" w:name="_Toc387526273"/>
      <w:r>
        <w:rPr>
          <w:color w:val="000000"/>
          <w:sz w:val="24"/>
        </w:rPr>
        <w:t>，最终报价超过采购预算的为无效响应文件。</w:t>
      </w:r>
    </w:p>
    <w:p w14:paraId="0DC01AFF">
      <w:pPr>
        <w:spacing w:line="360" w:lineRule="auto"/>
        <w:ind w:firstLine="480" w:firstLineChars="200"/>
        <w:jc w:val="left"/>
        <w:rPr>
          <w:color w:val="000000"/>
          <w:sz w:val="24"/>
        </w:rPr>
      </w:pPr>
      <w:r>
        <w:rPr>
          <w:color w:val="000000"/>
          <w:sz w:val="24"/>
        </w:rPr>
        <w:t>5、采购需求：</w:t>
      </w:r>
      <w:r>
        <w:rPr>
          <w:sz w:val="24"/>
        </w:rPr>
        <w:t>为进一步抓好南通市生态环境损害赔偿工作，制订“</w:t>
      </w:r>
      <w:r>
        <w:rPr>
          <w:rFonts w:hAnsi="宋体"/>
          <w:sz w:val="24"/>
        </w:rPr>
        <w:t>管家式</w:t>
      </w:r>
      <w:r>
        <w:rPr>
          <w:sz w:val="24"/>
        </w:rPr>
        <w:t>”服务方案，为南通市生态环境局</w:t>
      </w:r>
      <w:r>
        <w:rPr>
          <w:rFonts w:hAnsi="宋体"/>
          <w:bCs/>
          <w:sz w:val="24"/>
        </w:rPr>
        <w:t>生态环境</w:t>
      </w:r>
      <w:r>
        <w:rPr>
          <w:sz w:val="24"/>
        </w:rPr>
        <w:t>损害赔偿工作科技化、精细化、规范化提供技术支撑</w:t>
      </w:r>
      <w:r>
        <w:rPr>
          <w:color w:val="000000"/>
          <w:sz w:val="24"/>
        </w:rPr>
        <w:t>，详见磋商文件第三部分项目需求。</w:t>
      </w:r>
    </w:p>
    <w:p w14:paraId="44AAE919">
      <w:pPr>
        <w:spacing w:line="360" w:lineRule="auto"/>
        <w:ind w:firstLine="480" w:firstLineChars="200"/>
        <w:jc w:val="left"/>
        <w:rPr>
          <w:color w:val="000000"/>
          <w:sz w:val="24"/>
        </w:rPr>
      </w:pPr>
      <w:r>
        <w:rPr>
          <w:color w:val="000000"/>
          <w:sz w:val="24"/>
        </w:rPr>
        <w:t>6、合同</w:t>
      </w:r>
      <w:r>
        <w:rPr>
          <w:sz w:val="24"/>
        </w:rPr>
        <w:t>履行期限：一年。</w:t>
      </w:r>
    </w:p>
    <w:p w14:paraId="70377383">
      <w:pPr>
        <w:spacing w:line="360" w:lineRule="auto"/>
        <w:ind w:firstLine="480" w:firstLineChars="200"/>
        <w:jc w:val="left"/>
        <w:rPr>
          <w:color w:val="000000"/>
          <w:sz w:val="24"/>
        </w:rPr>
      </w:pPr>
      <w:r>
        <w:rPr>
          <w:color w:val="000000"/>
          <w:sz w:val="24"/>
        </w:rPr>
        <w:t>7、本项目不接受联合体。</w:t>
      </w:r>
    </w:p>
    <w:bookmarkEnd w:id="7"/>
    <w:bookmarkEnd w:id="8"/>
    <w:bookmarkEnd w:id="9"/>
    <w:bookmarkEnd w:id="10"/>
    <w:p w14:paraId="0FF5904F">
      <w:pPr>
        <w:spacing w:line="360" w:lineRule="auto"/>
        <w:ind w:firstLine="480" w:firstLineChars="200"/>
        <w:jc w:val="left"/>
        <w:rPr>
          <w:color w:val="000000"/>
          <w:sz w:val="24"/>
        </w:rPr>
      </w:pPr>
      <w:r>
        <w:rPr>
          <w:color w:val="000000"/>
          <w:sz w:val="24"/>
        </w:rPr>
        <w:t>二、申请人的资格要求：</w:t>
      </w:r>
    </w:p>
    <w:p w14:paraId="350F4C1D">
      <w:pPr>
        <w:spacing w:line="360" w:lineRule="auto"/>
        <w:ind w:firstLine="480" w:firstLineChars="200"/>
        <w:jc w:val="left"/>
        <w:rPr>
          <w:color w:val="000000"/>
          <w:sz w:val="24"/>
        </w:rPr>
      </w:pPr>
      <w:r>
        <w:rPr>
          <w:color w:val="000000"/>
          <w:sz w:val="24"/>
        </w:rPr>
        <w:t>1、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28A42E72">
      <w:pPr>
        <w:spacing w:line="360" w:lineRule="auto"/>
        <w:ind w:firstLine="480" w:firstLineChars="200"/>
        <w:jc w:val="left"/>
        <w:rPr>
          <w:sz w:val="24"/>
        </w:rPr>
      </w:pPr>
      <w:r>
        <w:rPr>
          <w:sz w:val="24"/>
        </w:rPr>
        <w:t>2、落实政府采购政策需满足的资格要求：详见采购文件。</w:t>
      </w:r>
    </w:p>
    <w:p w14:paraId="20D36CF6">
      <w:pPr>
        <w:spacing w:line="360" w:lineRule="auto"/>
        <w:ind w:firstLine="480" w:firstLineChars="200"/>
        <w:jc w:val="left"/>
        <w:rPr>
          <w:color w:val="000000"/>
          <w:sz w:val="24"/>
        </w:rPr>
      </w:pPr>
      <w:r>
        <w:rPr>
          <w:sz w:val="24"/>
        </w:rPr>
        <w:t>3、本项目的特定资格要求：</w:t>
      </w:r>
    </w:p>
    <w:p w14:paraId="1839A5BB">
      <w:pPr>
        <w:widowControl/>
        <w:snapToGrid w:val="0"/>
        <w:spacing w:line="360" w:lineRule="auto"/>
        <w:ind w:firstLine="480" w:firstLineChars="200"/>
        <w:jc w:val="left"/>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未被“信用中国”网站列入失信被执行人、重大税收违法案件当事人名单、政府采购严重违法失信行为记录名单。</w:t>
      </w:r>
    </w:p>
    <w:p w14:paraId="4C193CC7">
      <w:pPr>
        <w:widowControl/>
        <w:snapToGrid w:val="0"/>
        <w:spacing w:line="360" w:lineRule="auto"/>
        <w:ind w:firstLine="480" w:firstLineChars="200"/>
        <w:jc w:val="left"/>
        <w:rPr>
          <w:rFonts w:hint="eastAsia" w:ascii="宋体" w:hAnsi="宋体" w:cs="Arial"/>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ascii="宋体" w:hAnsi="宋体" w:cs="Arial"/>
          <w:sz w:val="24"/>
        </w:rPr>
        <w:t>不接受单位</w:t>
      </w:r>
      <w:r>
        <w:rPr>
          <w:rFonts w:hint="eastAsia"/>
          <w:sz w:val="24"/>
        </w:rPr>
        <w:t>负责人</w:t>
      </w:r>
      <w:r>
        <w:rPr>
          <w:rFonts w:hint="eastAsia" w:ascii="宋体" w:hAnsi="宋体" w:cs="Arial"/>
          <w:sz w:val="24"/>
        </w:rPr>
        <w:t>为同一人或者存在控股、管理关系的不同单位参与同一项目投标；</w:t>
      </w:r>
      <w:r>
        <w:rPr>
          <w:sz w:val="24"/>
        </w:rPr>
        <w:t>法定代表人为同一个人的两个及两个以上法人，母公司、全资子公司及其控股公司，都不得</w:t>
      </w:r>
      <w:r>
        <w:rPr>
          <w:rFonts w:hint="eastAsia" w:ascii="宋体" w:hAnsi="宋体" w:cs="Arial"/>
          <w:sz w:val="24"/>
        </w:rPr>
        <w:t>在同一采购项目或同一标段中同时参加投标，一经发现，将视同围标处理。</w:t>
      </w:r>
    </w:p>
    <w:p w14:paraId="33C1D9DC">
      <w:pPr>
        <w:widowControl/>
        <w:snapToGrid w:val="0"/>
        <w:spacing w:line="360" w:lineRule="auto"/>
        <w:ind w:firstLine="480" w:firstLineChars="200"/>
        <w:jc w:val="left"/>
        <w:rPr>
          <w:rFonts w:hint="eastAsia" w:ascii="宋体" w:hAnsi="宋体" w:cs="Arial"/>
          <w:sz w:val="24"/>
        </w:rPr>
      </w:pPr>
      <w:r>
        <w:rPr>
          <w:rFonts w:hint="eastAsia" w:ascii="宋体" w:hAnsi="宋体" w:cs="Arial"/>
          <w:sz w:val="24"/>
          <w:lang w:eastAsia="zh-CN"/>
        </w:rPr>
        <w:t>（</w:t>
      </w:r>
      <w:r>
        <w:rPr>
          <w:rFonts w:hint="eastAsia" w:ascii="宋体" w:hAnsi="宋体" w:cs="Arial"/>
          <w:sz w:val="24"/>
          <w:lang w:val="en-US" w:eastAsia="zh-CN"/>
        </w:rPr>
        <w:t>3</w:t>
      </w:r>
      <w:r>
        <w:rPr>
          <w:rFonts w:hint="eastAsia" w:ascii="宋体" w:hAnsi="宋体" w:cs="Arial"/>
          <w:sz w:val="24"/>
          <w:lang w:eastAsia="zh-CN"/>
        </w:rPr>
        <w:t>）</w:t>
      </w:r>
      <w:r>
        <w:rPr>
          <w:rFonts w:hint="eastAsia" w:ascii="宋体" w:hAnsi="宋体" w:cs="Arial"/>
          <w:sz w:val="24"/>
        </w:rPr>
        <w:t>成交供应商不得将本项目</w:t>
      </w:r>
      <w:r>
        <w:rPr>
          <w:rFonts w:hint="eastAsia" w:ascii="宋体" w:hAnsi="宋体" w:cs="Arial"/>
          <w:sz w:val="24"/>
          <w:lang w:eastAsia="zh-CN"/>
        </w:rPr>
        <w:t>转</w:t>
      </w:r>
      <w:r>
        <w:rPr>
          <w:rFonts w:hint="eastAsia" w:ascii="宋体" w:hAnsi="宋体" w:cs="Arial"/>
          <w:sz w:val="24"/>
        </w:rPr>
        <w:t>包或者转让给其他主体实施。</w:t>
      </w:r>
    </w:p>
    <w:p w14:paraId="107466A5">
      <w:pPr>
        <w:spacing w:line="360" w:lineRule="auto"/>
        <w:ind w:firstLine="480" w:firstLineChars="200"/>
        <w:jc w:val="left"/>
        <w:rPr>
          <w:color w:val="000000"/>
          <w:sz w:val="24"/>
        </w:rPr>
      </w:pPr>
      <w:r>
        <w:rPr>
          <w:color w:val="000000"/>
          <w:sz w:val="24"/>
        </w:rPr>
        <w:t>三、获取采购文件</w:t>
      </w:r>
    </w:p>
    <w:p w14:paraId="07B3A515">
      <w:pPr>
        <w:shd w:val="clear" w:color="auto" w:fill="FFFFFF"/>
        <w:spacing w:line="360" w:lineRule="auto"/>
        <w:ind w:firstLine="480" w:firstLineChars="200"/>
        <w:rPr>
          <w:sz w:val="24"/>
        </w:rPr>
      </w:pPr>
      <w:r>
        <w:rPr>
          <w:sz w:val="24"/>
        </w:rPr>
        <w:t>1、时间：</w:t>
      </w:r>
      <w:r>
        <w:rPr>
          <w:kern w:val="0"/>
          <w:sz w:val="24"/>
          <w:u w:val="single"/>
        </w:rPr>
        <w:t>自本磋商公告发布之日起</w:t>
      </w:r>
      <w:r>
        <w:rPr>
          <w:kern w:val="0"/>
          <w:sz w:val="24"/>
        </w:rPr>
        <w:t>。</w:t>
      </w:r>
    </w:p>
    <w:p w14:paraId="2705A5F4">
      <w:pPr>
        <w:spacing w:line="360" w:lineRule="auto"/>
        <w:ind w:firstLine="480" w:firstLineChars="200"/>
        <w:jc w:val="left"/>
        <w:rPr>
          <w:kern w:val="0"/>
          <w:sz w:val="24"/>
        </w:rPr>
      </w:pPr>
      <w:bookmarkStart w:id="11" w:name="_Toc387526369"/>
      <w:bookmarkStart w:id="12" w:name="_Toc387526277"/>
      <w:bookmarkStart w:id="13" w:name="_Toc387526173"/>
      <w:r>
        <w:rPr>
          <w:sz w:val="24"/>
        </w:rPr>
        <w:t>2、</w:t>
      </w:r>
      <w:r>
        <w:rPr>
          <w:kern w:val="0"/>
          <w:sz w:val="24"/>
        </w:rPr>
        <w:t>方式：</w:t>
      </w:r>
      <w:r>
        <w:rPr>
          <w:kern w:val="0"/>
          <w:sz w:val="24"/>
          <w:u w:val="single"/>
        </w:rPr>
        <w:t>本项目</w:t>
      </w:r>
      <w:r>
        <w:rPr>
          <w:sz w:val="24"/>
          <w:u w:val="single"/>
        </w:rPr>
        <w:t>资格审查采用资格后审方式，无报名环节，</w:t>
      </w:r>
      <w:r>
        <w:rPr>
          <w:color w:val="000000"/>
          <w:sz w:val="24"/>
          <w:u w:val="single"/>
        </w:rPr>
        <w:t>供应商直接从南通市生态环境局官网“信</w:t>
      </w:r>
      <w:r>
        <w:rPr>
          <w:color w:val="000000"/>
          <w:kern w:val="0"/>
          <w:sz w:val="24"/>
          <w:u w:val="single"/>
        </w:rPr>
        <w:t>息公开”栏</w:t>
      </w:r>
      <w:r>
        <w:rPr>
          <w:kern w:val="0"/>
          <w:sz w:val="24"/>
        </w:rPr>
        <w:t>自行下载磋商文件、答疑等磋商资料。</w:t>
      </w:r>
      <w:bookmarkEnd w:id="11"/>
      <w:bookmarkEnd w:id="12"/>
      <w:bookmarkEnd w:id="13"/>
    </w:p>
    <w:p w14:paraId="7B83C994">
      <w:pPr>
        <w:spacing w:line="360" w:lineRule="auto"/>
        <w:ind w:firstLine="480" w:firstLineChars="200"/>
        <w:jc w:val="left"/>
        <w:rPr>
          <w:color w:val="auto"/>
          <w:sz w:val="24"/>
          <w:highlight w:val="none"/>
        </w:rPr>
      </w:pPr>
      <w:r>
        <w:rPr>
          <w:color w:val="000000"/>
          <w:sz w:val="24"/>
        </w:rPr>
        <w:t>四、响应文</w:t>
      </w:r>
      <w:r>
        <w:rPr>
          <w:color w:val="auto"/>
          <w:sz w:val="24"/>
          <w:highlight w:val="none"/>
        </w:rPr>
        <w:t>件提交</w:t>
      </w:r>
    </w:p>
    <w:p w14:paraId="49165FBF">
      <w:pPr>
        <w:widowControl/>
        <w:spacing w:line="360" w:lineRule="auto"/>
        <w:ind w:firstLine="480" w:firstLineChars="200"/>
        <w:jc w:val="left"/>
        <w:rPr>
          <w:b/>
          <w:color w:val="auto"/>
          <w:sz w:val="24"/>
          <w:highlight w:val="none"/>
          <w:u w:val="single"/>
        </w:rPr>
      </w:pPr>
      <w:r>
        <w:rPr>
          <w:color w:val="auto"/>
          <w:kern w:val="0"/>
          <w:sz w:val="24"/>
          <w:highlight w:val="none"/>
        </w:rPr>
        <w:t>1、截止时间：</w:t>
      </w:r>
      <w:r>
        <w:rPr>
          <w:rFonts w:hint="eastAsia"/>
          <w:b/>
          <w:color w:val="auto"/>
          <w:sz w:val="24"/>
          <w:highlight w:val="none"/>
          <w:u w:val="single"/>
          <w:lang w:eastAsia="zh-CN"/>
        </w:rPr>
        <w:t>2025</w:t>
      </w:r>
      <w:r>
        <w:rPr>
          <w:rFonts w:hint="eastAsia"/>
          <w:b/>
          <w:color w:val="auto"/>
          <w:sz w:val="24"/>
          <w:highlight w:val="none"/>
          <w:u w:val="single"/>
        </w:rPr>
        <w:t xml:space="preserve">年 </w:t>
      </w:r>
      <w:r>
        <w:rPr>
          <w:rFonts w:hint="eastAsia"/>
          <w:b/>
          <w:color w:val="auto"/>
          <w:sz w:val="24"/>
          <w:highlight w:val="none"/>
          <w:u w:val="single"/>
          <w:lang w:val="en-US" w:eastAsia="zh-CN"/>
        </w:rPr>
        <w:t>7</w:t>
      </w:r>
      <w:r>
        <w:rPr>
          <w:rFonts w:hint="eastAsia"/>
          <w:b/>
          <w:color w:val="auto"/>
          <w:sz w:val="24"/>
          <w:highlight w:val="none"/>
          <w:u w:val="single"/>
        </w:rPr>
        <w:t>月</w:t>
      </w:r>
      <w:r>
        <w:rPr>
          <w:rFonts w:hint="eastAsia"/>
          <w:b/>
          <w:color w:val="auto"/>
          <w:sz w:val="24"/>
          <w:highlight w:val="none"/>
          <w:u w:val="single"/>
          <w:lang w:val="en-US" w:eastAsia="zh-CN"/>
        </w:rPr>
        <w:t>21</w:t>
      </w:r>
      <w:r>
        <w:rPr>
          <w:rFonts w:hint="eastAsia"/>
          <w:b/>
          <w:color w:val="auto"/>
          <w:sz w:val="24"/>
          <w:highlight w:val="none"/>
          <w:u w:val="single"/>
        </w:rPr>
        <w:t xml:space="preserve">日 </w:t>
      </w:r>
      <w:r>
        <w:rPr>
          <w:rFonts w:hint="eastAsia"/>
          <w:b/>
          <w:color w:val="auto"/>
          <w:sz w:val="24"/>
          <w:highlight w:val="none"/>
          <w:u w:val="single"/>
          <w:lang w:val="en-US" w:eastAsia="zh-CN"/>
        </w:rPr>
        <w:t>14</w:t>
      </w:r>
      <w:r>
        <w:rPr>
          <w:rFonts w:hint="eastAsia"/>
          <w:b/>
          <w:color w:val="auto"/>
          <w:sz w:val="24"/>
          <w:highlight w:val="none"/>
          <w:u w:val="single"/>
        </w:rPr>
        <w:t xml:space="preserve"> </w:t>
      </w:r>
      <w:r>
        <w:rPr>
          <w:b/>
          <w:color w:val="auto"/>
          <w:sz w:val="24"/>
          <w:highlight w:val="none"/>
          <w:u w:val="single"/>
        </w:rPr>
        <w:t>时</w:t>
      </w:r>
      <w:r>
        <w:rPr>
          <w:rFonts w:hint="eastAsia"/>
          <w:b/>
          <w:color w:val="auto"/>
          <w:sz w:val="24"/>
          <w:highlight w:val="none"/>
          <w:u w:val="single"/>
        </w:rPr>
        <w:t xml:space="preserve"> </w:t>
      </w:r>
      <w:r>
        <w:rPr>
          <w:rFonts w:hint="eastAsia"/>
          <w:b/>
          <w:color w:val="auto"/>
          <w:sz w:val="24"/>
          <w:highlight w:val="none"/>
          <w:u w:val="single"/>
          <w:lang w:val="en-US" w:eastAsia="zh-CN"/>
        </w:rPr>
        <w:t>30</w:t>
      </w:r>
      <w:r>
        <w:rPr>
          <w:b/>
          <w:color w:val="auto"/>
          <w:sz w:val="24"/>
          <w:highlight w:val="none"/>
          <w:u w:val="single"/>
        </w:rPr>
        <w:t>分</w:t>
      </w:r>
      <w:r>
        <w:rPr>
          <w:color w:val="auto"/>
          <w:sz w:val="24"/>
          <w:highlight w:val="none"/>
        </w:rPr>
        <w:t>；</w:t>
      </w:r>
    </w:p>
    <w:p w14:paraId="523267EA">
      <w:pPr>
        <w:widowControl/>
        <w:spacing w:line="360" w:lineRule="auto"/>
        <w:ind w:left="479" w:leftChars="228"/>
        <w:jc w:val="left"/>
        <w:rPr>
          <w:rFonts w:hint="eastAsia" w:ascii="宋体" w:hAnsi="宋体" w:cs="宋体"/>
          <w:color w:val="auto"/>
          <w:sz w:val="24"/>
          <w:highlight w:val="none"/>
        </w:rPr>
      </w:pPr>
      <w:r>
        <w:rPr>
          <w:color w:val="auto"/>
          <w:kern w:val="0"/>
          <w:sz w:val="24"/>
          <w:highlight w:val="none"/>
        </w:rPr>
        <w:t>2、地点：</w:t>
      </w:r>
      <w:r>
        <w:rPr>
          <w:rFonts w:hint="eastAsia"/>
          <w:b/>
          <w:color w:val="auto"/>
          <w:sz w:val="24"/>
          <w:highlight w:val="none"/>
          <w:u w:val="single"/>
        </w:rPr>
        <w:t>南通市崇川区姚港路江景苑G座南楼</w:t>
      </w:r>
      <w:r>
        <w:rPr>
          <w:rFonts w:hint="eastAsia"/>
          <w:b/>
          <w:color w:val="auto"/>
          <w:sz w:val="24"/>
          <w:highlight w:val="none"/>
          <w:u w:val="single"/>
          <w:lang w:val="en-US" w:eastAsia="zh-CN"/>
        </w:rPr>
        <w:t xml:space="preserve"> 307</w:t>
      </w:r>
      <w:r>
        <w:rPr>
          <w:rFonts w:hint="eastAsia"/>
          <w:b/>
          <w:color w:val="auto"/>
          <w:sz w:val="24"/>
          <w:highlight w:val="none"/>
          <w:u w:val="single"/>
        </w:rPr>
        <w:t>会议室 ，</w:t>
      </w:r>
      <w:r>
        <w:rPr>
          <w:rFonts w:hint="eastAsia" w:ascii="宋体" w:hAnsi="宋体" w:cs="宋体"/>
          <w:color w:val="auto"/>
          <w:sz w:val="24"/>
          <w:highlight w:val="none"/>
        </w:rPr>
        <w:t>（若有调整另行通知）。</w:t>
      </w:r>
    </w:p>
    <w:p w14:paraId="16F743FF">
      <w:pPr>
        <w:widowControl/>
        <w:spacing w:line="360" w:lineRule="auto"/>
        <w:ind w:firstLine="480" w:firstLineChars="200"/>
        <w:jc w:val="left"/>
        <w:rPr>
          <w:color w:val="auto"/>
          <w:kern w:val="0"/>
          <w:sz w:val="24"/>
          <w:highlight w:val="none"/>
        </w:rPr>
      </w:pPr>
      <w:r>
        <w:rPr>
          <w:color w:val="auto"/>
          <w:kern w:val="0"/>
          <w:sz w:val="24"/>
          <w:highlight w:val="none"/>
        </w:rPr>
        <w:t>3、逾期送达或者未送达指定地点的响应文件，采购人不予受理。</w:t>
      </w:r>
    </w:p>
    <w:p w14:paraId="5BA2BD5C">
      <w:pPr>
        <w:spacing w:line="360" w:lineRule="auto"/>
        <w:ind w:firstLine="480" w:firstLineChars="200"/>
        <w:jc w:val="left"/>
        <w:rPr>
          <w:color w:val="auto"/>
          <w:sz w:val="24"/>
          <w:highlight w:val="none"/>
        </w:rPr>
      </w:pPr>
      <w:r>
        <w:rPr>
          <w:color w:val="auto"/>
          <w:sz w:val="24"/>
          <w:highlight w:val="none"/>
        </w:rPr>
        <w:t>五、开启响应文件</w:t>
      </w:r>
    </w:p>
    <w:p w14:paraId="13D6B272">
      <w:pPr>
        <w:widowControl/>
        <w:spacing w:line="360" w:lineRule="auto"/>
        <w:ind w:firstLine="480" w:firstLineChars="200"/>
        <w:jc w:val="left"/>
        <w:rPr>
          <w:color w:val="auto"/>
          <w:kern w:val="0"/>
          <w:sz w:val="24"/>
          <w:highlight w:val="none"/>
        </w:rPr>
      </w:pPr>
      <w:r>
        <w:rPr>
          <w:color w:val="auto"/>
          <w:kern w:val="0"/>
          <w:sz w:val="24"/>
          <w:highlight w:val="none"/>
        </w:rPr>
        <w:t>时间：</w:t>
      </w:r>
      <w:r>
        <w:rPr>
          <w:rFonts w:hint="eastAsia"/>
          <w:b/>
          <w:color w:val="auto"/>
          <w:sz w:val="24"/>
          <w:highlight w:val="none"/>
          <w:u w:val="single"/>
          <w:lang w:eastAsia="zh-CN"/>
        </w:rPr>
        <w:t>2025</w:t>
      </w:r>
      <w:r>
        <w:rPr>
          <w:rFonts w:hint="eastAsia"/>
          <w:b/>
          <w:color w:val="auto"/>
          <w:sz w:val="24"/>
          <w:highlight w:val="none"/>
          <w:u w:val="single"/>
        </w:rPr>
        <w:t xml:space="preserve">年 </w:t>
      </w:r>
      <w:r>
        <w:rPr>
          <w:rFonts w:hint="eastAsia"/>
          <w:b/>
          <w:color w:val="auto"/>
          <w:sz w:val="24"/>
          <w:highlight w:val="none"/>
          <w:u w:val="single"/>
          <w:lang w:val="en-US" w:eastAsia="zh-CN"/>
        </w:rPr>
        <w:t>7</w:t>
      </w:r>
      <w:r>
        <w:rPr>
          <w:rFonts w:hint="eastAsia"/>
          <w:b/>
          <w:color w:val="auto"/>
          <w:sz w:val="24"/>
          <w:highlight w:val="none"/>
          <w:u w:val="single"/>
        </w:rPr>
        <w:t xml:space="preserve">月 </w:t>
      </w:r>
      <w:r>
        <w:rPr>
          <w:rFonts w:hint="eastAsia"/>
          <w:b/>
          <w:color w:val="auto"/>
          <w:sz w:val="24"/>
          <w:highlight w:val="none"/>
          <w:u w:val="single"/>
          <w:lang w:val="en-US" w:eastAsia="zh-CN"/>
        </w:rPr>
        <w:t>21</w:t>
      </w:r>
      <w:r>
        <w:rPr>
          <w:rFonts w:hint="eastAsia"/>
          <w:b/>
          <w:color w:val="auto"/>
          <w:sz w:val="24"/>
          <w:highlight w:val="none"/>
          <w:u w:val="single"/>
        </w:rPr>
        <w:t xml:space="preserve">日 </w:t>
      </w:r>
      <w:r>
        <w:rPr>
          <w:rFonts w:hint="eastAsia"/>
          <w:b/>
          <w:color w:val="auto"/>
          <w:sz w:val="24"/>
          <w:highlight w:val="none"/>
          <w:u w:val="single"/>
          <w:lang w:val="en-US" w:eastAsia="zh-CN"/>
        </w:rPr>
        <w:t>14</w:t>
      </w:r>
      <w:r>
        <w:rPr>
          <w:rFonts w:hint="eastAsia"/>
          <w:b/>
          <w:color w:val="auto"/>
          <w:sz w:val="24"/>
          <w:highlight w:val="none"/>
          <w:u w:val="single"/>
        </w:rPr>
        <w:t xml:space="preserve"> </w:t>
      </w:r>
      <w:r>
        <w:rPr>
          <w:b/>
          <w:color w:val="auto"/>
          <w:sz w:val="24"/>
          <w:highlight w:val="none"/>
          <w:u w:val="single"/>
        </w:rPr>
        <w:t>时</w:t>
      </w:r>
      <w:r>
        <w:rPr>
          <w:rFonts w:hint="eastAsia"/>
          <w:b/>
          <w:color w:val="auto"/>
          <w:sz w:val="24"/>
          <w:highlight w:val="none"/>
          <w:u w:val="single"/>
        </w:rPr>
        <w:t xml:space="preserve"> </w:t>
      </w:r>
      <w:r>
        <w:rPr>
          <w:rFonts w:hint="eastAsia"/>
          <w:b/>
          <w:color w:val="auto"/>
          <w:sz w:val="24"/>
          <w:highlight w:val="none"/>
          <w:u w:val="single"/>
          <w:lang w:val="en-US" w:eastAsia="zh-CN"/>
        </w:rPr>
        <w:t>30</w:t>
      </w:r>
      <w:r>
        <w:rPr>
          <w:rFonts w:hint="eastAsia"/>
          <w:b/>
          <w:color w:val="auto"/>
          <w:sz w:val="24"/>
          <w:highlight w:val="none"/>
          <w:u w:val="single"/>
        </w:rPr>
        <w:t xml:space="preserve"> </w:t>
      </w:r>
      <w:r>
        <w:rPr>
          <w:b/>
          <w:color w:val="auto"/>
          <w:sz w:val="24"/>
          <w:highlight w:val="none"/>
          <w:u w:val="single"/>
        </w:rPr>
        <w:t>分</w:t>
      </w:r>
      <w:r>
        <w:rPr>
          <w:color w:val="auto"/>
          <w:kern w:val="0"/>
          <w:sz w:val="24"/>
          <w:highlight w:val="none"/>
        </w:rPr>
        <w:t>；</w:t>
      </w:r>
    </w:p>
    <w:p w14:paraId="6BFBF6EE">
      <w:pPr>
        <w:spacing w:line="360" w:lineRule="auto"/>
        <w:ind w:firstLine="480" w:firstLineChars="200"/>
        <w:jc w:val="left"/>
        <w:rPr>
          <w:color w:val="auto"/>
          <w:kern w:val="0"/>
          <w:sz w:val="24"/>
          <w:highlight w:val="none"/>
        </w:rPr>
      </w:pPr>
      <w:r>
        <w:rPr>
          <w:color w:val="auto"/>
          <w:kern w:val="0"/>
          <w:sz w:val="24"/>
          <w:szCs w:val="20"/>
          <w:highlight w:val="none"/>
        </w:rPr>
        <w:t>地点：</w:t>
      </w:r>
      <w:r>
        <w:rPr>
          <w:rFonts w:hint="eastAsia"/>
          <w:b/>
          <w:color w:val="auto"/>
          <w:sz w:val="24"/>
          <w:highlight w:val="none"/>
          <w:u w:val="single"/>
        </w:rPr>
        <w:t>南通市崇川区姚港路江景苑G座南楼</w:t>
      </w:r>
      <w:r>
        <w:rPr>
          <w:rFonts w:hint="eastAsia"/>
          <w:b/>
          <w:color w:val="auto"/>
          <w:sz w:val="24"/>
          <w:highlight w:val="none"/>
          <w:u w:val="single"/>
          <w:lang w:val="en-US" w:eastAsia="zh-CN"/>
        </w:rPr>
        <w:t xml:space="preserve"> 307</w:t>
      </w:r>
      <w:r>
        <w:rPr>
          <w:rFonts w:hint="eastAsia"/>
          <w:b/>
          <w:color w:val="auto"/>
          <w:sz w:val="24"/>
          <w:highlight w:val="none"/>
          <w:u w:val="single"/>
        </w:rPr>
        <w:t>会议室 ，</w:t>
      </w:r>
      <w:r>
        <w:rPr>
          <w:b/>
          <w:color w:val="auto"/>
          <w:sz w:val="24"/>
          <w:highlight w:val="none"/>
          <w:u w:val="single"/>
        </w:rPr>
        <w:t>如有变动另行通知</w:t>
      </w:r>
      <w:r>
        <w:rPr>
          <w:color w:val="auto"/>
          <w:sz w:val="24"/>
          <w:highlight w:val="none"/>
        </w:rPr>
        <w:t>。</w:t>
      </w:r>
    </w:p>
    <w:p w14:paraId="45A78832">
      <w:pPr>
        <w:spacing w:line="360" w:lineRule="auto"/>
        <w:ind w:firstLine="480" w:firstLineChars="200"/>
        <w:jc w:val="left"/>
        <w:rPr>
          <w:color w:val="auto"/>
          <w:kern w:val="0"/>
          <w:sz w:val="24"/>
          <w:highlight w:val="none"/>
        </w:rPr>
      </w:pPr>
      <w:r>
        <w:rPr>
          <w:bCs/>
          <w:color w:val="auto"/>
          <w:sz w:val="24"/>
          <w:highlight w:val="none"/>
        </w:rPr>
        <w:t>六、</w:t>
      </w:r>
      <w:r>
        <w:rPr>
          <w:color w:val="auto"/>
          <w:kern w:val="0"/>
          <w:sz w:val="24"/>
          <w:highlight w:val="none"/>
        </w:rPr>
        <w:t>公告期限</w:t>
      </w:r>
    </w:p>
    <w:p w14:paraId="42F4D3BA">
      <w:pPr>
        <w:spacing w:line="360" w:lineRule="auto"/>
        <w:ind w:firstLine="480" w:firstLineChars="200"/>
        <w:jc w:val="left"/>
        <w:rPr>
          <w:color w:val="auto"/>
          <w:kern w:val="0"/>
          <w:sz w:val="24"/>
          <w:highlight w:val="none"/>
        </w:rPr>
      </w:pPr>
      <w:r>
        <w:rPr>
          <w:color w:val="auto"/>
          <w:kern w:val="0"/>
          <w:sz w:val="24"/>
          <w:highlight w:val="none"/>
        </w:rPr>
        <w:t>自本公告发布之日起3个工作日。</w:t>
      </w:r>
    </w:p>
    <w:p w14:paraId="1065589F">
      <w:pPr>
        <w:spacing w:line="360" w:lineRule="auto"/>
        <w:ind w:firstLine="480" w:firstLineChars="200"/>
        <w:jc w:val="left"/>
        <w:rPr>
          <w:bCs/>
          <w:color w:val="auto"/>
          <w:sz w:val="24"/>
          <w:highlight w:val="none"/>
        </w:rPr>
      </w:pPr>
      <w:r>
        <w:rPr>
          <w:bCs/>
          <w:color w:val="auto"/>
          <w:sz w:val="24"/>
          <w:highlight w:val="none"/>
        </w:rPr>
        <w:t>七、其他补充事宜</w:t>
      </w:r>
    </w:p>
    <w:p w14:paraId="24E02E50">
      <w:pPr>
        <w:spacing w:line="360" w:lineRule="auto"/>
        <w:ind w:firstLine="480" w:firstLineChars="200"/>
        <w:jc w:val="left"/>
        <w:rPr>
          <w:kern w:val="0"/>
          <w:sz w:val="24"/>
        </w:rPr>
      </w:pPr>
      <w:r>
        <w:rPr>
          <w:kern w:val="0"/>
          <w:sz w:val="24"/>
        </w:rPr>
        <w:t>竞争性磋商程序简介：磋商小组审查响应供应商资格，符合资格的供应商接受磋商小组的各轮磋商。磋商结束后要求所有实质性响应的供应商在规定时间内提交最后报价，磋商小组采用综合评分法对提交最后报价的供应商的响应文件和最后报价进行综合评分，响应文件满足磋商文件全部实质性要求且按评审因素的量化指标评审得分最高者，为成交供应商。</w:t>
      </w:r>
    </w:p>
    <w:p w14:paraId="02C78406">
      <w:pPr>
        <w:spacing w:line="360" w:lineRule="auto"/>
        <w:ind w:firstLine="480" w:firstLineChars="200"/>
        <w:jc w:val="left"/>
        <w:rPr>
          <w:kern w:val="0"/>
          <w:sz w:val="24"/>
        </w:rPr>
      </w:pPr>
      <w:r>
        <w:rPr>
          <w:kern w:val="0"/>
          <w:sz w:val="24"/>
        </w:rPr>
        <w:t>八、凡对本次采购提出询问，请按以下方式联系</w:t>
      </w:r>
    </w:p>
    <w:p w14:paraId="2E9727A6">
      <w:pPr>
        <w:spacing w:line="360" w:lineRule="auto"/>
        <w:ind w:firstLine="480" w:firstLineChars="200"/>
        <w:jc w:val="left"/>
        <w:rPr>
          <w:kern w:val="0"/>
          <w:sz w:val="24"/>
        </w:rPr>
      </w:pPr>
      <w:r>
        <w:rPr>
          <w:kern w:val="0"/>
          <w:sz w:val="24"/>
        </w:rPr>
        <w:t>1、采购人信息</w:t>
      </w:r>
    </w:p>
    <w:p w14:paraId="35661F78">
      <w:pPr>
        <w:spacing w:line="360" w:lineRule="auto"/>
        <w:ind w:firstLine="480" w:firstLineChars="200"/>
        <w:jc w:val="left"/>
        <w:rPr>
          <w:kern w:val="0"/>
          <w:sz w:val="24"/>
        </w:rPr>
      </w:pPr>
      <w:r>
        <w:rPr>
          <w:kern w:val="0"/>
          <w:sz w:val="24"/>
        </w:rPr>
        <w:t xml:space="preserve">名    称：南通市生态环境局 </w:t>
      </w:r>
    </w:p>
    <w:p w14:paraId="2D72330E">
      <w:pPr>
        <w:spacing w:line="360" w:lineRule="auto"/>
        <w:ind w:firstLine="480" w:firstLineChars="200"/>
        <w:jc w:val="left"/>
        <w:rPr>
          <w:rFonts w:hint="default" w:eastAsia="宋体"/>
          <w:kern w:val="0"/>
          <w:sz w:val="24"/>
          <w:lang w:val="en-US" w:eastAsia="zh-CN"/>
        </w:rPr>
      </w:pPr>
      <w:r>
        <w:rPr>
          <w:kern w:val="0"/>
          <w:sz w:val="24"/>
        </w:rPr>
        <w:t>地    址：南通市</w:t>
      </w:r>
      <w:r>
        <w:rPr>
          <w:rFonts w:hint="eastAsia"/>
          <w:kern w:val="0"/>
          <w:sz w:val="24"/>
          <w:lang w:val="en-US" w:eastAsia="zh-CN"/>
        </w:rPr>
        <w:t>姚港路52号</w:t>
      </w:r>
    </w:p>
    <w:p w14:paraId="47E371D1">
      <w:pPr>
        <w:spacing w:line="360" w:lineRule="auto"/>
        <w:ind w:firstLine="480" w:firstLineChars="200"/>
        <w:jc w:val="left"/>
        <w:rPr>
          <w:kern w:val="0"/>
          <w:sz w:val="24"/>
        </w:rPr>
      </w:pPr>
      <w:r>
        <w:rPr>
          <w:kern w:val="0"/>
          <w:sz w:val="24"/>
        </w:rPr>
        <w:t>联系方式：</w:t>
      </w:r>
      <w:r>
        <w:rPr>
          <w:rFonts w:hint="eastAsia"/>
          <w:kern w:val="0"/>
          <w:sz w:val="24"/>
          <w:lang w:val="en-US" w:eastAsia="zh-CN"/>
        </w:rPr>
        <w:t>陆</w:t>
      </w:r>
      <w:r>
        <w:rPr>
          <w:kern w:val="0"/>
          <w:sz w:val="24"/>
        </w:rPr>
        <w:t xml:space="preserve">先生  </w:t>
      </w:r>
      <w:r>
        <w:rPr>
          <w:sz w:val="24"/>
        </w:rPr>
        <w:t>0513-59002788</w:t>
      </w:r>
    </w:p>
    <w:p w14:paraId="1F1570D8">
      <w:pPr>
        <w:spacing w:line="360" w:lineRule="auto"/>
        <w:ind w:firstLine="480" w:firstLineChars="200"/>
        <w:jc w:val="left"/>
        <w:rPr>
          <w:rFonts w:ascii="Times New Roman" w:hAnsi="Times New Roman" w:eastAsia="宋体" w:cs="Times New Roman"/>
          <w:kern w:val="0"/>
          <w:sz w:val="24"/>
        </w:rPr>
      </w:pPr>
      <w:r>
        <w:rPr>
          <w:rFonts w:ascii="Times New Roman" w:hAnsi="Times New Roman" w:eastAsia="宋体" w:cs="Times New Roman"/>
          <w:kern w:val="0"/>
          <w:sz w:val="24"/>
        </w:rPr>
        <w:t>2、采购代理机构</w:t>
      </w:r>
    </w:p>
    <w:bookmarkEnd w:id="4"/>
    <w:bookmarkEnd w:id="5"/>
    <w:bookmarkEnd w:id="6"/>
    <w:p w14:paraId="062DDB32">
      <w:pPr>
        <w:spacing w:line="360" w:lineRule="auto"/>
        <w:ind w:firstLine="480" w:firstLineChars="200"/>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名 称：江苏新东方工程管理咨询有限公司</w:t>
      </w:r>
    </w:p>
    <w:p w14:paraId="1105BB9A">
      <w:pPr>
        <w:spacing w:line="360" w:lineRule="auto"/>
        <w:ind w:firstLine="480" w:firstLineChars="200"/>
        <w:jc w:val="left"/>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rPr>
        <w:t>地址：南通市崇川区</w:t>
      </w:r>
      <w:r>
        <w:rPr>
          <w:rFonts w:hint="eastAsia" w:ascii="Times New Roman" w:hAnsi="Times New Roman" w:eastAsia="宋体" w:cs="Times New Roman"/>
          <w:kern w:val="0"/>
          <w:sz w:val="24"/>
          <w:lang w:val="en-US" w:eastAsia="zh-CN"/>
        </w:rPr>
        <w:t>外环东路12号2楼南侧</w:t>
      </w:r>
    </w:p>
    <w:p w14:paraId="0C103A4C">
      <w:pPr>
        <w:spacing w:line="360" w:lineRule="auto"/>
        <w:ind w:firstLine="480" w:firstLineChars="200"/>
        <w:jc w:val="left"/>
        <w:rPr>
          <w:rFonts w:hint="eastAsia" w:ascii="Times New Roman" w:hAnsi="Times New Roman" w:eastAsia="宋体" w:cs="Times New Roman"/>
          <w:kern w:val="0"/>
          <w:sz w:val="24"/>
        </w:rPr>
      </w:pPr>
      <w:r>
        <w:rPr>
          <w:rFonts w:hint="eastAsia" w:ascii="Times New Roman" w:hAnsi="Times New Roman" w:eastAsia="宋体" w:cs="Times New Roman"/>
          <w:kern w:val="0"/>
          <w:sz w:val="24"/>
        </w:rPr>
        <w:t>联系方式：张女士（电话：15996553483）</w:t>
      </w:r>
    </w:p>
    <w:p w14:paraId="32A002C4">
      <w:pPr>
        <w:spacing w:line="360" w:lineRule="auto"/>
        <w:ind w:firstLine="723" w:firstLineChars="200"/>
        <w:jc w:val="center"/>
        <w:outlineLvl w:val="0"/>
        <w:rPr>
          <w:b/>
          <w:color w:val="000000"/>
          <w:sz w:val="36"/>
          <w:szCs w:val="36"/>
        </w:rPr>
      </w:pPr>
      <w:r>
        <w:rPr>
          <w:b/>
          <w:color w:val="000000"/>
          <w:sz w:val="36"/>
          <w:szCs w:val="36"/>
        </w:rPr>
        <w:br w:type="page"/>
      </w:r>
      <w:r>
        <w:rPr>
          <w:rFonts w:hAnsi="宋体"/>
          <w:b/>
          <w:color w:val="000000"/>
          <w:sz w:val="36"/>
          <w:szCs w:val="36"/>
        </w:rPr>
        <w:t>第二部分</w:t>
      </w:r>
      <w:r>
        <w:rPr>
          <w:b/>
          <w:color w:val="000000"/>
          <w:sz w:val="36"/>
          <w:szCs w:val="36"/>
        </w:rPr>
        <w:t xml:space="preserve">  </w:t>
      </w:r>
      <w:r>
        <w:rPr>
          <w:rFonts w:hAnsi="宋体"/>
          <w:b/>
          <w:color w:val="000000"/>
          <w:sz w:val="36"/>
          <w:szCs w:val="36"/>
        </w:rPr>
        <w:t>磋商须知</w:t>
      </w:r>
    </w:p>
    <w:p w14:paraId="41A531E7">
      <w:pPr>
        <w:snapToGrid w:val="0"/>
        <w:spacing w:line="360" w:lineRule="auto"/>
        <w:ind w:firstLine="482" w:firstLineChars="200"/>
        <w:jc w:val="left"/>
        <w:rPr>
          <w:color w:val="000000"/>
          <w:sz w:val="24"/>
        </w:rPr>
      </w:pPr>
      <w:r>
        <w:rPr>
          <w:b/>
          <w:color w:val="000000"/>
          <w:sz w:val="24"/>
        </w:rPr>
        <w:t>一、磋商文件解释权归采购人所有</w:t>
      </w:r>
      <w:r>
        <w:rPr>
          <w:color w:val="000000"/>
          <w:sz w:val="24"/>
        </w:rPr>
        <w:t>。</w:t>
      </w:r>
    </w:p>
    <w:p w14:paraId="2ECAFF95">
      <w:pPr>
        <w:snapToGrid w:val="0"/>
        <w:spacing w:line="360" w:lineRule="auto"/>
        <w:ind w:firstLine="480" w:firstLineChars="200"/>
        <w:jc w:val="left"/>
        <w:rPr>
          <w:b/>
          <w:color w:val="000000"/>
          <w:sz w:val="24"/>
        </w:rPr>
      </w:pPr>
      <w:r>
        <w:rPr>
          <w:color w:val="000000"/>
          <w:sz w:val="24"/>
        </w:rPr>
        <w:t>1、供应商获取磋商文件后，应仔细检查磋商文件的所有内容，如有内容或页码残缺、资格要求和技术参数含有倾向性或排他性等表述的，应在获取磋商文件后以书面形式提出询问或疑问，否则视同供应商理解并接受本磋商文件所有内容，并由此引起的投标损失自负。供应商不得在磋商结束后针对磋商文件所有内容提出质疑事项。</w:t>
      </w:r>
      <w:r>
        <w:rPr>
          <w:b/>
          <w:color w:val="000000"/>
          <w:sz w:val="24"/>
        </w:rPr>
        <w:t>非书面形式的不作为日后质疑提出的依据。</w:t>
      </w:r>
    </w:p>
    <w:p w14:paraId="182B10BE">
      <w:pPr>
        <w:snapToGrid w:val="0"/>
        <w:spacing w:line="360" w:lineRule="auto"/>
        <w:ind w:firstLine="480" w:firstLineChars="200"/>
        <w:jc w:val="left"/>
        <w:rPr>
          <w:color w:val="000000"/>
          <w:sz w:val="24"/>
        </w:rPr>
      </w:pPr>
      <w:r>
        <w:rPr>
          <w:color w:val="000000"/>
          <w:sz w:val="24"/>
        </w:rPr>
        <w:t>2、供应商应认真审阅磋商文件中所有的事项、格式、条款和规范要求等，如果供应商没有按照磋商文件要求提交响应文件，或者响应文件没有对磋商文件做出实质性响应，其投标将被拒绝，供应商自行承担责任。</w:t>
      </w:r>
    </w:p>
    <w:p w14:paraId="369FBFD7">
      <w:pPr>
        <w:snapToGrid w:val="0"/>
        <w:spacing w:line="360" w:lineRule="auto"/>
        <w:ind w:firstLine="482" w:firstLineChars="200"/>
        <w:jc w:val="left"/>
        <w:rPr>
          <w:b/>
          <w:color w:val="000000"/>
          <w:sz w:val="24"/>
        </w:rPr>
      </w:pPr>
      <w:r>
        <w:rPr>
          <w:b/>
          <w:color w:val="000000"/>
          <w:sz w:val="24"/>
        </w:rPr>
        <w:t>二、磋商文件的澄清、修改、答疑</w:t>
      </w:r>
    </w:p>
    <w:p w14:paraId="362E2343">
      <w:pPr>
        <w:pStyle w:val="3"/>
        <w:snapToGrid w:val="0"/>
        <w:spacing w:after="0" w:line="360" w:lineRule="auto"/>
        <w:ind w:left="0" w:leftChars="0" w:firstLine="480" w:firstLineChars="200"/>
        <w:jc w:val="left"/>
        <w:rPr>
          <w:color w:val="000000"/>
          <w:sz w:val="24"/>
        </w:rPr>
      </w:pPr>
      <w:r>
        <w:rPr>
          <w:color w:val="000000"/>
          <w:sz w:val="24"/>
        </w:rPr>
        <w:t>1、采购人有权对发出的磋商文件进行必要的补充说明、澄清或修改。</w:t>
      </w:r>
    </w:p>
    <w:p w14:paraId="6812CEEF">
      <w:pPr>
        <w:pStyle w:val="3"/>
        <w:snapToGrid w:val="0"/>
        <w:spacing w:after="0" w:line="360" w:lineRule="auto"/>
        <w:ind w:left="0" w:leftChars="0" w:firstLine="480" w:firstLineChars="200"/>
        <w:jc w:val="left"/>
        <w:rPr>
          <w:color w:val="000000"/>
          <w:sz w:val="24"/>
        </w:rPr>
      </w:pPr>
      <w:r>
        <w:rPr>
          <w:color w:val="000000"/>
          <w:sz w:val="24"/>
        </w:rPr>
        <w:t>2、凡涉及磋商文件的补充说明、澄清或修改，均以书面发出的信息为准。</w:t>
      </w:r>
    </w:p>
    <w:p w14:paraId="007B6F1A">
      <w:pPr>
        <w:pStyle w:val="3"/>
        <w:snapToGrid w:val="0"/>
        <w:spacing w:after="0" w:line="360" w:lineRule="auto"/>
        <w:ind w:left="0" w:leftChars="0" w:firstLine="480" w:firstLineChars="200"/>
        <w:jc w:val="left"/>
        <w:rPr>
          <w:color w:val="000000"/>
          <w:sz w:val="24"/>
        </w:rPr>
      </w:pPr>
      <w:r>
        <w:rPr>
          <w:color w:val="000000"/>
          <w:sz w:val="24"/>
        </w:rPr>
        <w:t>3、采购人对磋商文件的补充说明、澄清或修改，将构成本项目磋商文件的一部分，对响应供应商具有约束力。</w:t>
      </w:r>
    </w:p>
    <w:p w14:paraId="0552102F">
      <w:pPr>
        <w:pStyle w:val="3"/>
        <w:snapToGrid w:val="0"/>
        <w:spacing w:after="0" w:line="360" w:lineRule="auto"/>
        <w:ind w:left="0" w:leftChars="0" w:firstLine="480" w:firstLineChars="200"/>
        <w:jc w:val="left"/>
        <w:rPr>
          <w:color w:val="000000"/>
          <w:sz w:val="24"/>
        </w:rPr>
      </w:pPr>
      <w:r>
        <w:rPr>
          <w:color w:val="000000"/>
          <w:sz w:val="24"/>
        </w:rPr>
        <w:t>4、补充说明、澄清或修改的内容可能影响到响应文件编制的，代理机构将在首次提交磋商响应文件截止日5天前，发布补充说明、澄清或修改公告。不足5日的，应当顺延首次提交磋商响应文件截止之日。</w:t>
      </w:r>
    </w:p>
    <w:p w14:paraId="48CF3444">
      <w:pPr>
        <w:pStyle w:val="3"/>
        <w:snapToGrid w:val="0"/>
        <w:spacing w:after="0" w:line="360" w:lineRule="auto"/>
        <w:ind w:left="0" w:leftChars="0" w:firstLine="480" w:firstLineChars="200"/>
        <w:jc w:val="left"/>
        <w:rPr>
          <w:color w:val="000000"/>
          <w:sz w:val="24"/>
        </w:rPr>
      </w:pPr>
      <w:r>
        <w:rPr>
          <w:color w:val="000000"/>
          <w:sz w:val="24"/>
        </w:rPr>
        <w:t>5、除非代理机构以书面、公告的形式对磋商文件作出澄清、修改、补充，供应商对涉及磋商文件的任何推论、理解和结论所造成的结果，均由供应商自负。</w:t>
      </w:r>
    </w:p>
    <w:p w14:paraId="279B5802">
      <w:pPr>
        <w:pStyle w:val="3"/>
        <w:snapToGrid w:val="0"/>
        <w:spacing w:after="0" w:line="360" w:lineRule="auto"/>
        <w:ind w:left="0" w:leftChars="0" w:firstLine="480" w:firstLineChars="200"/>
        <w:jc w:val="left"/>
        <w:rPr>
          <w:color w:val="000000"/>
          <w:sz w:val="24"/>
        </w:rPr>
      </w:pPr>
      <w:r>
        <w:rPr>
          <w:color w:val="000000"/>
          <w:sz w:val="24"/>
        </w:rPr>
        <w:t>6、采购人视情组织答疑会。如有产生答疑且对磋商文件内容有修改，代理机构将按照本须知有关规定，以补充通知（公告）的方式发出。</w:t>
      </w:r>
    </w:p>
    <w:p w14:paraId="1CA03967">
      <w:pPr>
        <w:snapToGrid w:val="0"/>
        <w:spacing w:line="360" w:lineRule="auto"/>
        <w:ind w:firstLine="482" w:firstLineChars="200"/>
        <w:jc w:val="left"/>
        <w:rPr>
          <w:b/>
          <w:color w:val="000000"/>
          <w:sz w:val="24"/>
          <w:highlight w:val="none"/>
        </w:rPr>
      </w:pPr>
      <w:r>
        <w:rPr>
          <w:b/>
          <w:color w:val="000000"/>
          <w:sz w:val="24"/>
          <w:highlight w:val="none"/>
        </w:rPr>
        <w:t>三、磋商报价</w:t>
      </w:r>
    </w:p>
    <w:p w14:paraId="264ADB52">
      <w:pPr>
        <w:pStyle w:val="3"/>
        <w:snapToGrid w:val="0"/>
        <w:spacing w:after="0" w:line="360" w:lineRule="auto"/>
        <w:ind w:left="0" w:leftChars="0" w:firstLine="480" w:firstLineChars="200"/>
        <w:jc w:val="left"/>
        <w:rPr>
          <w:color w:val="000000"/>
          <w:sz w:val="24"/>
        </w:rPr>
      </w:pPr>
      <w:r>
        <w:rPr>
          <w:color w:val="000000"/>
          <w:sz w:val="24"/>
        </w:rPr>
        <w:t>1、磋商结束后，供应商就所有内容进行最后报价。</w:t>
      </w:r>
    </w:p>
    <w:p w14:paraId="1DCA7A97">
      <w:pPr>
        <w:pStyle w:val="3"/>
        <w:snapToGrid w:val="0"/>
        <w:spacing w:after="0" w:line="360" w:lineRule="auto"/>
        <w:ind w:left="0" w:leftChars="0" w:firstLine="480" w:firstLineChars="200"/>
        <w:jc w:val="left"/>
        <w:rPr>
          <w:color w:val="000000"/>
          <w:sz w:val="24"/>
        </w:rPr>
      </w:pPr>
      <w:r>
        <w:rPr>
          <w:color w:val="000000"/>
          <w:sz w:val="24"/>
        </w:rPr>
        <w:t>2、本项目不接受任何有选择的报价。</w:t>
      </w:r>
    </w:p>
    <w:p w14:paraId="7C95393B">
      <w:pPr>
        <w:pStyle w:val="3"/>
        <w:snapToGrid w:val="0"/>
        <w:spacing w:after="0" w:line="360" w:lineRule="auto"/>
        <w:ind w:left="0" w:leftChars="0" w:firstLine="480" w:firstLineChars="200"/>
        <w:jc w:val="left"/>
        <w:rPr>
          <w:color w:val="000000"/>
          <w:sz w:val="24"/>
        </w:rPr>
      </w:pPr>
      <w:r>
        <w:rPr>
          <w:color w:val="000000"/>
          <w:sz w:val="24"/>
        </w:rPr>
        <w:t>3、磋商报价均以人民币为报价的币种。</w:t>
      </w:r>
    </w:p>
    <w:p w14:paraId="28B78864">
      <w:pPr>
        <w:pStyle w:val="3"/>
        <w:snapToGrid w:val="0"/>
        <w:spacing w:after="0" w:line="360" w:lineRule="auto"/>
        <w:ind w:left="0" w:leftChars="0" w:firstLine="480" w:firstLineChars="200"/>
        <w:jc w:val="left"/>
        <w:rPr>
          <w:color w:val="000000"/>
          <w:sz w:val="24"/>
        </w:rPr>
      </w:pPr>
      <w:r>
        <w:rPr>
          <w:color w:val="000000"/>
          <w:sz w:val="24"/>
        </w:rPr>
        <w:t>4、磋商报价表必须加盖公章且必须经法定代表人或被授权人签字或盖章。</w:t>
      </w:r>
    </w:p>
    <w:p w14:paraId="3A72A89E">
      <w:pPr>
        <w:pStyle w:val="3"/>
        <w:snapToGrid w:val="0"/>
        <w:spacing w:after="0" w:line="360" w:lineRule="auto"/>
        <w:ind w:left="0" w:leftChars="0" w:firstLine="480" w:firstLineChars="200"/>
        <w:jc w:val="left"/>
        <w:rPr>
          <w:color w:val="000000"/>
          <w:sz w:val="24"/>
        </w:rPr>
      </w:pPr>
      <w:r>
        <w:rPr>
          <w:color w:val="000000"/>
          <w:sz w:val="24"/>
        </w:rPr>
        <w:t>5、最后报价应包括本项目的全部费用，包括但不限于</w:t>
      </w:r>
      <w:r>
        <w:rPr>
          <w:sz w:val="24"/>
        </w:rPr>
        <w:t>法律顾问咨询和服务的劳务、交通、食宿、通信、政策</w:t>
      </w:r>
      <w:r>
        <w:rPr>
          <w:bCs/>
          <w:sz w:val="24"/>
        </w:rPr>
        <w:t>性调整风险费、代理服务费</w:t>
      </w:r>
      <w:r>
        <w:rPr>
          <w:color w:val="000000"/>
          <w:sz w:val="24"/>
        </w:rPr>
        <w:t>、</w:t>
      </w:r>
      <w:r>
        <w:rPr>
          <w:rFonts w:hAnsi="宋体"/>
          <w:bCs/>
          <w:sz w:val="24"/>
        </w:rPr>
        <w:t>相关伴随服务、管理费、利润、税金</w:t>
      </w:r>
      <w:r>
        <w:rPr>
          <w:color w:val="000000"/>
          <w:sz w:val="24"/>
        </w:rPr>
        <w:t>等费用。</w:t>
      </w:r>
      <w:r>
        <w:rPr>
          <w:rFonts w:hAnsi="宋体"/>
          <w:bCs/>
          <w:sz w:val="24"/>
        </w:rPr>
        <w:t>即为完成本项目服务及响应磋商文件采购要求所</w:t>
      </w:r>
      <w:r>
        <w:rPr>
          <w:bCs/>
          <w:sz w:val="24"/>
        </w:rPr>
        <w:t>发生的全部</w:t>
      </w:r>
      <w:r>
        <w:rPr>
          <w:rFonts w:hAnsi="宋体"/>
          <w:bCs/>
          <w:sz w:val="24"/>
        </w:rPr>
        <w:t>有费用。</w:t>
      </w:r>
    </w:p>
    <w:p w14:paraId="154D04A2">
      <w:pPr>
        <w:snapToGrid w:val="0"/>
        <w:spacing w:line="360" w:lineRule="auto"/>
        <w:ind w:firstLine="482" w:firstLineChars="200"/>
        <w:jc w:val="left"/>
        <w:rPr>
          <w:b/>
          <w:color w:val="000000"/>
          <w:sz w:val="24"/>
        </w:rPr>
      </w:pPr>
      <w:r>
        <w:rPr>
          <w:b/>
          <w:color w:val="000000"/>
          <w:sz w:val="24"/>
        </w:rPr>
        <w:t>四、响应文件的编写、份数和签署</w:t>
      </w:r>
    </w:p>
    <w:p w14:paraId="651AD523">
      <w:pPr>
        <w:snapToGrid w:val="0"/>
        <w:spacing w:line="360" w:lineRule="auto"/>
        <w:ind w:firstLine="480" w:firstLineChars="200"/>
        <w:jc w:val="left"/>
        <w:rPr>
          <w:color w:val="000000"/>
          <w:sz w:val="24"/>
        </w:rPr>
      </w:pPr>
      <w:r>
        <w:rPr>
          <w:color w:val="000000"/>
          <w:sz w:val="24"/>
        </w:rPr>
        <w:t>1、供应商按第七部分“响应文件组成”编写响应文件，</w:t>
      </w:r>
      <w:r>
        <w:rPr>
          <w:color w:val="000000"/>
          <w:kern w:val="0"/>
          <w:sz w:val="24"/>
          <w:lang w:val="zh-CN"/>
        </w:rPr>
        <w:t>响应文件规格幅面</w:t>
      </w:r>
      <w:r>
        <w:rPr>
          <w:color w:val="000000"/>
          <w:sz w:val="24"/>
        </w:rPr>
        <w:t>A4纸（图纸等除外），</w:t>
      </w:r>
      <w:r>
        <w:rPr>
          <w:color w:val="000000"/>
          <w:kern w:val="0"/>
          <w:sz w:val="24"/>
          <w:lang w:val="zh-CN"/>
        </w:rPr>
        <w:t>按照磋商文件所规定的内容顺序，统一编目、编页码装订（响应文件中复印件及彩色宣传资料等均须与响应文件正文一起逐页编排页码）。由于编排混乱导致响应文件被误读或查找不到，其责任应当由供应商承担。</w:t>
      </w:r>
      <w:r>
        <w:rPr>
          <w:color w:val="000000"/>
          <w:sz w:val="24"/>
        </w:rPr>
        <w:t>不得将内容拆开投标，并牢固装订成册（如文件较多，可分册装订）。响应文件不得行间插字、涂改、增删，如修补错漏处，须经响应文件签署人签字并加盖公章。</w:t>
      </w:r>
    </w:p>
    <w:p w14:paraId="4472895F">
      <w:pPr>
        <w:snapToGrid w:val="0"/>
        <w:spacing w:line="360" w:lineRule="auto"/>
        <w:ind w:firstLine="480" w:firstLineChars="200"/>
        <w:jc w:val="left"/>
        <w:rPr>
          <w:color w:val="000000"/>
          <w:sz w:val="24"/>
        </w:rPr>
      </w:pPr>
      <w:r>
        <w:rPr>
          <w:color w:val="000000"/>
          <w:sz w:val="24"/>
        </w:rPr>
        <w:t>2、响应文件的资格审查资料、技术商务响应文件均为</w:t>
      </w:r>
      <w:r>
        <w:rPr>
          <w:color w:val="000000"/>
          <w:sz w:val="24"/>
          <w:lang w:val="zh-CN"/>
        </w:rPr>
        <w:t>一</w:t>
      </w:r>
      <w:r>
        <w:rPr>
          <w:color w:val="000000"/>
          <w:sz w:val="24"/>
        </w:rPr>
        <w:t>份正本和二份副本，并明确标注</w:t>
      </w:r>
      <w:r>
        <w:rPr>
          <w:color w:val="000000"/>
          <w:sz w:val="24"/>
          <w:lang w:val="zh-CN"/>
        </w:rPr>
        <w:t>供应商全称、</w:t>
      </w:r>
      <w:r>
        <w:rPr>
          <w:color w:val="000000"/>
          <w:sz w:val="24"/>
        </w:rPr>
        <w:t>“正本”、“副本”字样。</w:t>
      </w:r>
    </w:p>
    <w:p w14:paraId="53B1DB74">
      <w:pPr>
        <w:snapToGrid w:val="0"/>
        <w:spacing w:line="360" w:lineRule="auto"/>
        <w:ind w:firstLine="480" w:firstLineChars="200"/>
        <w:jc w:val="left"/>
        <w:rPr>
          <w:color w:val="000000"/>
          <w:sz w:val="24"/>
        </w:rPr>
      </w:pPr>
      <w:r>
        <w:rPr>
          <w:color w:val="000000"/>
          <w:sz w:val="24"/>
        </w:rPr>
        <w:t>3、响应文件正本须打印并由供应商法定代表人或授权人签字</w:t>
      </w:r>
      <w:r>
        <w:rPr>
          <w:rFonts w:hAnsi="宋体"/>
          <w:sz w:val="24"/>
        </w:rPr>
        <w:t>（或盖章）</w:t>
      </w:r>
      <w:r>
        <w:rPr>
          <w:color w:val="000000"/>
          <w:sz w:val="24"/>
        </w:rPr>
        <w:t>并加盖单位</w:t>
      </w:r>
      <w:r>
        <w:rPr>
          <w:rFonts w:hAnsi="宋体"/>
          <w:sz w:val="24"/>
        </w:rPr>
        <w:t>公</w:t>
      </w:r>
      <w:r>
        <w:rPr>
          <w:color w:val="000000"/>
          <w:sz w:val="24"/>
        </w:rPr>
        <w:t>章。副本可复印，但须加盖单位</w:t>
      </w:r>
      <w:r>
        <w:rPr>
          <w:rFonts w:hAnsi="宋体"/>
          <w:sz w:val="24"/>
        </w:rPr>
        <w:t>公</w:t>
      </w:r>
      <w:r>
        <w:rPr>
          <w:color w:val="000000"/>
          <w:sz w:val="24"/>
        </w:rPr>
        <w:t>章。</w:t>
      </w:r>
    </w:p>
    <w:p w14:paraId="1A36EA9B">
      <w:pPr>
        <w:snapToGrid w:val="0"/>
        <w:spacing w:line="360" w:lineRule="auto"/>
        <w:ind w:firstLine="482" w:firstLineChars="200"/>
        <w:jc w:val="left"/>
        <w:rPr>
          <w:b/>
          <w:color w:val="000000"/>
          <w:sz w:val="24"/>
        </w:rPr>
      </w:pPr>
      <w:r>
        <w:rPr>
          <w:b/>
          <w:color w:val="000000"/>
          <w:sz w:val="24"/>
        </w:rPr>
        <w:t>五、响应文件的密封及标记</w:t>
      </w:r>
    </w:p>
    <w:p w14:paraId="3D309AAD">
      <w:pPr>
        <w:snapToGrid w:val="0"/>
        <w:spacing w:line="360" w:lineRule="auto"/>
        <w:ind w:firstLine="480" w:firstLineChars="200"/>
        <w:jc w:val="left"/>
        <w:rPr>
          <w:color w:val="000000"/>
          <w:sz w:val="24"/>
        </w:rPr>
      </w:pPr>
      <w:r>
        <w:rPr>
          <w:color w:val="000000"/>
          <w:sz w:val="24"/>
        </w:rPr>
        <w:t>1、供应商可以将正本、副本及图纸类等（如需提供图纸等其它资料的话）合并密封，统一装在一个密封袋或密封箱内（如有A3大小的图纸类，可单独密封）。正本、副本分别密封的，封袋上应标明“正本”、“副本”字样。</w:t>
      </w:r>
    </w:p>
    <w:p w14:paraId="3C63E9A0">
      <w:pPr>
        <w:snapToGrid w:val="0"/>
        <w:spacing w:line="360" w:lineRule="auto"/>
        <w:ind w:firstLine="480" w:firstLineChars="200"/>
        <w:jc w:val="left"/>
        <w:rPr>
          <w:color w:val="000000"/>
          <w:sz w:val="24"/>
        </w:rPr>
      </w:pPr>
      <w:r>
        <w:rPr>
          <w:rFonts w:hint="eastAsia"/>
          <w:color w:val="000000"/>
          <w:sz w:val="24"/>
          <w:lang w:val="en-US" w:eastAsia="zh-CN"/>
        </w:rPr>
        <w:t>2</w:t>
      </w:r>
      <w:r>
        <w:rPr>
          <w:color w:val="000000"/>
          <w:sz w:val="24"/>
        </w:rPr>
        <w:t>、响应文件的资格审查资料、技术商务响应文件</w:t>
      </w:r>
      <w:r>
        <w:rPr>
          <w:b/>
          <w:color w:val="000000"/>
          <w:sz w:val="24"/>
        </w:rPr>
        <w:t>分别密封</w:t>
      </w:r>
      <w:r>
        <w:rPr>
          <w:color w:val="000000"/>
          <w:sz w:val="24"/>
        </w:rPr>
        <w:t>，并在封袋上写明 “资格审查资料”、“技术商务响应文件”，同时还要写明项目名称、供应商名称。封袋上应加盖供应商公章。</w:t>
      </w:r>
    </w:p>
    <w:p w14:paraId="1F13C995">
      <w:pPr>
        <w:snapToGrid w:val="0"/>
        <w:spacing w:line="360" w:lineRule="auto"/>
        <w:ind w:firstLine="482" w:firstLineChars="200"/>
        <w:jc w:val="left"/>
        <w:rPr>
          <w:color w:val="000000"/>
          <w:sz w:val="24"/>
        </w:rPr>
      </w:pPr>
      <w:r>
        <w:rPr>
          <w:b/>
          <w:color w:val="000000"/>
          <w:sz w:val="24"/>
        </w:rPr>
        <w:t>未按上述规定密封的响应文件，采购人不予接收</w:t>
      </w:r>
      <w:r>
        <w:rPr>
          <w:color w:val="000000"/>
          <w:sz w:val="24"/>
        </w:rPr>
        <w:t>。</w:t>
      </w:r>
    </w:p>
    <w:p w14:paraId="4491BE5A">
      <w:pPr>
        <w:snapToGrid w:val="0"/>
        <w:spacing w:line="360" w:lineRule="auto"/>
        <w:ind w:firstLine="482" w:firstLineChars="200"/>
        <w:jc w:val="left"/>
        <w:rPr>
          <w:b/>
          <w:color w:val="000000"/>
          <w:sz w:val="24"/>
        </w:rPr>
      </w:pPr>
      <w:r>
        <w:rPr>
          <w:b/>
          <w:color w:val="000000"/>
          <w:sz w:val="24"/>
        </w:rPr>
        <w:t>六、响应文件的递交时间</w:t>
      </w:r>
    </w:p>
    <w:p w14:paraId="4689A546">
      <w:pPr>
        <w:snapToGrid w:val="0"/>
        <w:spacing w:line="360" w:lineRule="auto"/>
        <w:ind w:firstLine="480" w:firstLineChars="200"/>
        <w:jc w:val="left"/>
        <w:rPr>
          <w:color w:val="000000"/>
          <w:sz w:val="24"/>
        </w:rPr>
      </w:pPr>
      <w:r>
        <w:rPr>
          <w:color w:val="000000"/>
          <w:sz w:val="24"/>
        </w:rPr>
        <w:t>供应商必须在规定的响应文件接收截止时间前送达采购人。采购人将拒绝接收在截止时间后递交的响应文件。</w:t>
      </w:r>
    </w:p>
    <w:p w14:paraId="591516F3">
      <w:pPr>
        <w:snapToGrid w:val="0"/>
        <w:spacing w:line="360" w:lineRule="auto"/>
        <w:ind w:firstLine="482" w:firstLineChars="200"/>
        <w:jc w:val="left"/>
        <w:rPr>
          <w:b/>
          <w:color w:val="000000"/>
          <w:sz w:val="24"/>
        </w:rPr>
      </w:pPr>
      <w:r>
        <w:rPr>
          <w:b/>
          <w:color w:val="000000"/>
          <w:sz w:val="24"/>
        </w:rPr>
        <w:t>七、磋商保证金</w:t>
      </w:r>
    </w:p>
    <w:p w14:paraId="4A6324BE">
      <w:pPr>
        <w:spacing w:line="360" w:lineRule="auto"/>
        <w:ind w:firstLine="480" w:firstLineChars="200"/>
        <w:jc w:val="left"/>
        <w:rPr>
          <w:color w:val="000000"/>
          <w:sz w:val="24"/>
        </w:rPr>
      </w:pPr>
      <w:r>
        <w:rPr>
          <w:color w:val="000000"/>
          <w:sz w:val="24"/>
        </w:rPr>
        <w:t>本项目不收取磋商保证金。</w:t>
      </w:r>
    </w:p>
    <w:p w14:paraId="3BEBA967">
      <w:pPr>
        <w:spacing w:line="360" w:lineRule="auto"/>
        <w:ind w:firstLine="482" w:firstLineChars="200"/>
        <w:jc w:val="left"/>
        <w:rPr>
          <w:b/>
          <w:color w:val="000000"/>
          <w:sz w:val="24"/>
        </w:rPr>
      </w:pPr>
      <w:r>
        <w:rPr>
          <w:b/>
          <w:color w:val="000000"/>
          <w:sz w:val="24"/>
        </w:rPr>
        <w:t>八、响应文件有效期</w:t>
      </w:r>
    </w:p>
    <w:p w14:paraId="0ADD96FB">
      <w:pPr>
        <w:spacing w:line="360" w:lineRule="auto"/>
        <w:ind w:firstLine="480" w:firstLineChars="200"/>
        <w:jc w:val="left"/>
        <w:rPr>
          <w:color w:val="000000"/>
          <w:sz w:val="24"/>
        </w:rPr>
      </w:pPr>
      <w:r>
        <w:rPr>
          <w:color w:val="000000"/>
          <w:sz w:val="24"/>
        </w:rPr>
        <w:t>响应文件自投标截止时间起45个自然日内有效。磋商程序进行后，不论成交与否，所有已开启的响应文件均予不退，未开启的响应文件可退回。</w:t>
      </w:r>
    </w:p>
    <w:p w14:paraId="5A7D5CC7">
      <w:pPr>
        <w:spacing w:line="360" w:lineRule="auto"/>
        <w:ind w:firstLine="482" w:firstLineChars="200"/>
        <w:jc w:val="left"/>
        <w:rPr>
          <w:b/>
          <w:color w:val="000000"/>
          <w:sz w:val="24"/>
        </w:rPr>
      </w:pPr>
      <w:r>
        <w:rPr>
          <w:rFonts w:hAnsi="宋体"/>
          <w:b/>
          <w:color w:val="000000"/>
          <w:sz w:val="24"/>
        </w:rPr>
        <w:t>九、磋商费用</w:t>
      </w:r>
    </w:p>
    <w:p w14:paraId="17B2737F">
      <w:pPr>
        <w:spacing w:line="360" w:lineRule="auto"/>
        <w:ind w:firstLine="480" w:firstLineChars="200"/>
        <w:jc w:val="left"/>
        <w:rPr>
          <w:color w:val="000000"/>
          <w:sz w:val="24"/>
        </w:rPr>
      </w:pPr>
      <w:r>
        <w:rPr>
          <w:color w:val="000000"/>
          <w:sz w:val="24"/>
        </w:rPr>
        <w:t>1、供应商应承担其编制响应文件以及递交响应文件所涉及的一切费用。无论磋商结果如何，采购人对上述费用不负任何责任。</w:t>
      </w:r>
    </w:p>
    <w:p w14:paraId="7B3047C3">
      <w:pPr>
        <w:spacing w:line="360" w:lineRule="auto"/>
        <w:ind w:firstLine="480" w:firstLineChars="200"/>
        <w:jc w:val="left"/>
        <w:rPr>
          <w:color w:val="000000"/>
          <w:sz w:val="24"/>
        </w:rPr>
      </w:pPr>
      <w:r>
        <w:rPr>
          <w:sz w:val="24"/>
        </w:rPr>
        <w:t>2、</w:t>
      </w:r>
      <w:r>
        <w:rPr>
          <w:color w:val="000000"/>
          <w:sz w:val="24"/>
          <w:highlight w:val="none"/>
        </w:rPr>
        <w:t>本次磋商采购代理服务费人民币2000元整，供应商须综合考虑在响应报价内（不得单列），由成交供应商承担并在领取成交通知书前支</w:t>
      </w:r>
      <w:r>
        <w:rPr>
          <w:color w:val="000000"/>
          <w:sz w:val="24"/>
        </w:rPr>
        <w:t>付给采购代理机构。</w:t>
      </w:r>
    </w:p>
    <w:p w14:paraId="24470BF4">
      <w:pPr>
        <w:spacing w:line="360" w:lineRule="auto"/>
        <w:ind w:firstLine="482" w:firstLineChars="200"/>
        <w:jc w:val="left"/>
        <w:rPr>
          <w:b/>
          <w:color w:val="000000"/>
          <w:sz w:val="24"/>
        </w:rPr>
      </w:pPr>
      <w:r>
        <w:rPr>
          <w:rFonts w:hint="eastAsia" w:ascii="Times New Roman" w:hAnsi="宋体" w:eastAsia="宋体" w:cs="Times New Roman"/>
          <w:b/>
          <w:color w:val="000000"/>
          <w:sz w:val="24"/>
          <w:lang w:val="en-US" w:eastAsia="zh-CN"/>
        </w:rPr>
        <w:t>十、</w:t>
      </w:r>
      <w:r>
        <w:rPr>
          <w:b/>
          <w:color w:val="000000"/>
          <w:sz w:val="24"/>
        </w:rPr>
        <w:t>未尽事宜</w:t>
      </w:r>
    </w:p>
    <w:p w14:paraId="0CE0AAF7">
      <w:pPr>
        <w:snapToGrid w:val="0"/>
        <w:spacing w:line="360" w:lineRule="auto"/>
        <w:ind w:firstLine="480" w:firstLineChars="200"/>
        <w:jc w:val="left"/>
        <w:rPr>
          <w:color w:val="000000"/>
          <w:sz w:val="24"/>
        </w:rPr>
      </w:pPr>
      <w:r>
        <w:rPr>
          <w:color w:val="000000"/>
          <w:sz w:val="24"/>
        </w:rPr>
        <w:t>按《中华人民共和国政府采购法》、《政府采购竞争性磋商采购方式管理暂行办法》及其他有关法律法规的规定执行。</w:t>
      </w:r>
    </w:p>
    <w:p w14:paraId="10CA881E">
      <w:pPr>
        <w:snapToGrid w:val="0"/>
        <w:spacing w:line="300" w:lineRule="auto"/>
        <w:jc w:val="center"/>
        <w:outlineLvl w:val="0"/>
        <w:rPr>
          <w:b/>
          <w:color w:val="000000"/>
          <w:sz w:val="36"/>
          <w:szCs w:val="36"/>
        </w:rPr>
      </w:pPr>
      <w:r>
        <w:rPr>
          <w:sz w:val="24"/>
        </w:rPr>
        <w:br w:type="page"/>
      </w:r>
      <w:r>
        <w:rPr>
          <w:rFonts w:hAnsi="宋体"/>
          <w:b/>
          <w:color w:val="000000"/>
          <w:sz w:val="36"/>
          <w:szCs w:val="36"/>
        </w:rPr>
        <w:t>第三部分</w:t>
      </w:r>
      <w:r>
        <w:rPr>
          <w:b/>
          <w:color w:val="000000"/>
          <w:sz w:val="36"/>
          <w:szCs w:val="36"/>
        </w:rPr>
        <w:t xml:space="preserve">  </w:t>
      </w:r>
      <w:r>
        <w:rPr>
          <w:rFonts w:hAnsi="宋体"/>
          <w:b/>
          <w:color w:val="000000"/>
          <w:sz w:val="36"/>
          <w:szCs w:val="36"/>
        </w:rPr>
        <w:t>项目需求说明</w:t>
      </w:r>
    </w:p>
    <w:p w14:paraId="4FD09D4D">
      <w:pPr>
        <w:snapToGrid w:val="0"/>
        <w:spacing w:line="360" w:lineRule="auto"/>
        <w:ind w:firstLine="482" w:firstLineChars="200"/>
        <w:jc w:val="left"/>
        <w:rPr>
          <w:color w:val="000000"/>
          <w:sz w:val="24"/>
        </w:rPr>
      </w:pPr>
      <w:r>
        <w:rPr>
          <w:rFonts w:hAnsi="宋体"/>
          <w:b/>
          <w:sz w:val="24"/>
        </w:rPr>
        <w:t>请供应商在制作响应文件时仔细研究项目需求说明</w:t>
      </w:r>
      <w:r>
        <w:rPr>
          <w:rFonts w:hAnsi="宋体"/>
          <w:sz w:val="24"/>
        </w:rPr>
        <w:t>。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成交供应商承担。如供应商提供的货物和服务同采购单位提出的项目需求说明中的技术、商务要求不同的，必须明示，如不明示的视同完全响应。</w:t>
      </w:r>
    </w:p>
    <w:p w14:paraId="7FF68EA0">
      <w:pPr>
        <w:adjustRightInd w:val="0"/>
        <w:snapToGrid w:val="0"/>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一、项目背景</w:t>
      </w:r>
    </w:p>
    <w:p w14:paraId="4082CBAB">
      <w:pPr>
        <w:snapToGrid w:val="0"/>
        <w:spacing w:line="360" w:lineRule="auto"/>
        <w:ind w:firstLine="480" w:firstLineChars="200"/>
        <w:jc w:val="left"/>
        <w:rPr>
          <w:color w:val="000000"/>
          <w:sz w:val="24"/>
        </w:rPr>
      </w:pPr>
      <w:r>
        <w:rPr>
          <w:rFonts w:hint="eastAsia"/>
          <w:color w:val="000000"/>
          <w:sz w:val="24"/>
          <w:lang w:val="en-US" w:eastAsia="zh-CN"/>
        </w:rPr>
        <w:t>生态环境损害赔偿</w:t>
      </w:r>
      <w:r>
        <w:rPr>
          <w:color w:val="000000"/>
          <w:sz w:val="24"/>
        </w:rPr>
        <w:t>工作意义重大，但工作量大、技术性强，各地普遍存在人手不够，技术支持不足等问题。现需要通过购买第三方服务为深入推进南通市生态环境局生态环境损害赔偿工作提供技术支撑服务，进一步完善生态环境损害赔偿案源范围、实施主体、执法调查、鉴定评估、磋商索赔、资金管理、修复监督、信息公开等内容，深入完善生态环境损害赔偿，加快推进生态环境治理体系和治理能力现代化建设。</w:t>
      </w:r>
    </w:p>
    <w:p w14:paraId="45035012">
      <w:pPr>
        <w:adjustRightInd w:val="0"/>
        <w:snapToGrid w:val="0"/>
        <w:spacing w:line="360" w:lineRule="auto"/>
        <w:ind w:firstLine="482" w:firstLineChars="200"/>
        <w:rPr>
          <w:b/>
          <w:sz w:val="24"/>
        </w:rPr>
      </w:pPr>
      <w:r>
        <w:rPr>
          <w:b/>
          <w:sz w:val="24"/>
        </w:rPr>
        <w:t>二、工作目标</w:t>
      </w:r>
    </w:p>
    <w:p w14:paraId="3CBE089E">
      <w:pPr>
        <w:adjustRightInd w:val="0"/>
        <w:snapToGrid w:val="0"/>
        <w:spacing w:line="360" w:lineRule="auto"/>
        <w:ind w:firstLine="480" w:firstLineChars="200"/>
        <w:rPr>
          <w:sz w:val="24"/>
        </w:rPr>
      </w:pPr>
      <w:r>
        <w:rPr>
          <w:sz w:val="24"/>
        </w:rPr>
        <w:t>根据南通市生态环境局生态环境损害赔偿环境管理工作的实际需求，进一步抓好南通市生态环境损害赔偿工作，制</w:t>
      </w:r>
      <w:r>
        <w:rPr>
          <w:rFonts w:hAnsi="宋体"/>
          <w:sz w:val="24"/>
        </w:rPr>
        <w:t>订</w:t>
      </w:r>
      <w:r>
        <w:rPr>
          <w:sz w:val="24"/>
        </w:rPr>
        <w:t>“</w:t>
      </w:r>
      <w:r>
        <w:rPr>
          <w:rFonts w:hAnsi="宋体"/>
          <w:sz w:val="24"/>
        </w:rPr>
        <w:t>管家式</w:t>
      </w:r>
      <w:r>
        <w:rPr>
          <w:sz w:val="24"/>
        </w:rPr>
        <w:t>”</w:t>
      </w:r>
      <w:r>
        <w:rPr>
          <w:rFonts w:hAnsi="宋体"/>
          <w:sz w:val="24"/>
        </w:rPr>
        <w:t>服务</w:t>
      </w:r>
      <w:r>
        <w:rPr>
          <w:sz w:val="24"/>
        </w:rPr>
        <w:t>方案，为南通市生态环境局</w:t>
      </w:r>
      <w:r>
        <w:rPr>
          <w:rFonts w:hAnsi="宋体"/>
          <w:bCs/>
          <w:sz w:val="24"/>
        </w:rPr>
        <w:t>生态环境</w:t>
      </w:r>
      <w:r>
        <w:rPr>
          <w:sz w:val="24"/>
        </w:rPr>
        <w:t>损害赔偿工作科技化、精细化、规范化提供全面的技术支撑。</w:t>
      </w:r>
    </w:p>
    <w:p w14:paraId="40FBF37C">
      <w:pPr>
        <w:adjustRightInd w:val="0"/>
        <w:snapToGrid w:val="0"/>
        <w:spacing w:line="360" w:lineRule="auto"/>
        <w:ind w:firstLine="482" w:firstLineChars="200"/>
        <w:rPr>
          <w:b/>
          <w:sz w:val="24"/>
        </w:rPr>
      </w:pPr>
      <w:r>
        <w:rPr>
          <w:b/>
          <w:sz w:val="24"/>
        </w:rPr>
        <w:t>三、项目内容</w:t>
      </w:r>
    </w:p>
    <w:p w14:paraId="644ECFB6">
      <w:pPr>
        <w:adjustRightInd w:val="0"/>
        <w:snapToGrid w:val="0"/>
        <w:spacing w:line="360" w:lineRule="auto"/>
        <w:ind w:firstLine="480" w:firstLineChars="200"/>
        <w:rPr>
          <w:sz w:val="24"/>
        </w:rPr>
      </w:pPr>
      <w:r>
        <w:rPr>
          <w:sz w:val="24"/>
        </w:rPr>
        <w:t>1、针对具体的环境污染案件提供全流程的技术支撑，污染事件发生后，针对相关专业问题做到快速响应咨询，在第一时间给予专业解答，协助相关部门做好证据固定工作，开展应急处理处置工作，避免污染进一步扩大。</w:t>
      </w:r>
    </w:p>
    <w:p w14:paraId="32EE2B22">
      <w:pPr>
        <w:adjustRightInd w:val="0"/>
        <w:snapToGrid w:val="0"/>
        <w:spacing w:line="360" w:lineRule="auto"/>
        <w:ind w:firstLine="480" w:firstLineChars="200"/>
        <w:rPr>
          <w:sz w:val="24"/>
        </w:rPr>
      </w:pPr>
      <w:r>
        <w:rPr>
          <w:sz w:val="24"/>
        </w:rPr>
        <w:t>2、协助确定突发环境事件等级、核实发生地点及对生态环境的影响后果程度，结合事件其他相关情况，综合判断是否满足启动生态环境损害赔偿程序的要求；</w:t>
      </w:r>
    </w:p>
    <w:p w14:paraId="1D923B61">
      <w:pPr>
        <w:adjustRightInd w:val="0"/>
        <w:snapToGrid w:val="0"/>
        <w:spacing w:line="360" w:lineRule="auto"/>
        <w:ind w:firstLine="480" w:firstLineChars="200"/>
        <w:rPr>
          <w:sz w:val="24"/>
        </w:rPr>
      </w:pPr>
      <w:r>
        <w:rPr>
          <w:sz w:val="24"/>
        </w:rPr>
        <w:t>3、对进入生态环境损害赔偿程序的突发环境事件，协助指导生态环境损害赔偿权利人或其指定的部门或机构遴选技术支撑单位；</w:t>
      </w:r>
    </w:p>
    <w:p w14:paraId="133630FE">
      <w:pPr>
        <w:adjustRightInd w:val="0"/>
        <w:snapToGrid w:val="0"/>
        <w:spacing w:line="360" w:lineRule="auto"/>
        <w:ind w:firstLine="480" w:firstLineChars="200"/>
        <w:rPr>
          <w:sz w:val="24"/>
        </w:rPr>
      </w:pPr>
      <w:r>
        <w:rPr>
          <w:sz w:val="24"/>
        </w:rPr>
        <w:t>4、根据要求，协助组织专家对选定的技术支撑单位出具的生态环境损害调查、鉴定评估、修复方案等技术文件开展专家审核，由专家出具专家咨询意见；</w:t>
      </w:r>
    </w:p>
    <w:p w14:paraId="3E88A38D">
      <w:pPr>
        <w:adjustRightInd w:val="0"/>
        <w:snapToGrid w:val="0"/>
        <w:spacing w:line="360" w:lineRule="auto"/>
        <w:ind w:firstLine="480" w:firstLineChars="200"/>
        <w:rPr>
          <w:sz w:val="24"/>
        </w:rPr>
      </w:pPr>
      <w:r>
        <w:rPr>
          <w:sz w:val="24"/>
        </w:rPr>
        <w:t>5、根据要求，协助开展生态环境损害赔偿案件的赔偿磋商和司法诉讼等工作，提供相关的技术咨询；</w:t>
      </w:r>
    </w:p>
    <w:p w14:paraId="7A3B872B">
      <w:pPr>
        <w:adjustRightInd w:val="0"/>
        <w:snapToGrid w:val="0"/>
        <w:spacing w:line="360" w:lineRule="auto"/>
        <w:ind w:firstLine="480" w:firstLineChars="200"/>
        <w:rPr>
          <w:sz w:val="24"/>
        </w:rPr>
      </w:pPr>
      <w:r>
        <w:rPr>
          <w:sz w:val="24"/>
        </w:rPr>
        <w:t>6、根据要求，协助对赔偿义务人开展的生态环境损害修复进行技术监督和指导，并协助赔偿权利人对修复效果后评估工作进行监督管理；</w:t>
      </w:r>
    </w:p>
    <w:p w14:paraId="520101D9">
      <w:pPr>
        <w:adjustRightInd w:val="0"/>
        <w:snapToGrid w:val="0"/>
        <w:spacing w:line="360" w:lineRule="auto"/>
        <w:ind w:firstLine="480" w:firstLineChars="200"/>
        <w:rPr>
          <w:sz w:val="24"/>
        </w:rPr>
      </w:pPr>
      <w:r>
        <w:rPr>
          <w:sz w:val="24"/>
        </w:rPr>
        <w:t>7、协助做好全市生态环境损害赔偿的协调和监督工作，做好生态环境损害赔偿案例的分析研究和经验总结，对生态环境损害赔偿制度建设提出意见建议；</w:t>
      </w:r>
    </w:p>
    <w:p w14:paraId="6F3BE40E">
      <w:pPr>
        <w:adjustRightInd w:val="0"/>
        <w:snapToGrid w:val="0"/>
        <w:spacing w:line="360" w:lineRule="auto"/>
        <w:ind w:firstLine="480" w:firstLineChars="200"/>
        <w:rPr>
          <w:sz w:val="24"/>
        </w:rPr>
      </w:pPr>
      <w:r>
        <w:rPr>
          <w:sz w:val="24"/>
        </w:rPr>
        <w:t>8、针对公民、法人和其他组织向采购人举报并要求提起生态环境损害赔偿的，协助对举报意见进行研究处理，提出答复建议；</w:t>
      </w:r>
    </w:p>
    <w:p w14:paraId="3B5616B5">
      <w:pPr>
        <w:adjustRightInd w:val="0"/>
        <w:snapToGrid w:val="0"/>
        <w:spacing w:line="360" w:lineRule="auto"/>
        <w:ind w:firstLine="480" w:firstLineChars="200"/>
        <w:rPr>
          <w:sz w:val="24"/>
        </w:rPr>
      </w:pPr>
      <w:r>
        <w:rPr>
          <w:sz w:val="24"/>
        </w:rPr>
        <w:t>9、根据要求，协助建立、维护生态环境损害鉴定评估专家库，协助对已入库专家履职情况组织综合评估；</w:t>
      </w:r>
    </w:p>
    <w:p w14:paraId="79E17BAE">
      <w:pPr>
        <w:adjustRightInd w:val="0"/>
        <w:snapToGrid w:val="0"/>
        <w:spacing w:line="360" w:lineRule="auto"/>
        <w:ind w:firstLine="480" w:firstLineChars="200"/>
        <w:rPr>
          <w:sz w:val="24"/>
        </w:rPr>
      </w:pPr>
      <w:r>
        <w:rPr>
          <w:sz w:val="24"/>
        </w:rPr>
        <w:t>10、协助维护生态环境损害赔偿改革进展报送系统，对上级交办的线索梳理、标准规范的意见征求等工作提供技术咨询服务；</w:t>
      </w:r>
    </w:p>
    <w:p w14:paraId="052E9B09">
      <w:pPr>
        <w:adjustRightInd w:val="0"/>
        <w:snapToGrid w:val="0"/>
        <w:spacing w:line="360" w:lineRule="auto"/>
        <w:ind w:firstLine="480" w:firstLineChars="200"/>
        <w:rPr>
          <w:sz w:val="24"/>
        </w:rPr>
      </w:pPr>
      <w:r>
        <w:rPr>
          <w:sz w:val="24"/>
        </w:rPr>
        <w:t>11、根据要求，协助做好生态损害赔偿地方立法、配套制度完善、规范性文件评估等相关工作，协助完善生态环境损害赔偿制度相关的政策、指导意见、管理手册等；</w:t>
      </w:r>
    </w:p>
    <w:p w14:paraId="7C6E0BEE">
      <w:pPr>
        <w:adjustRightInd w:val="0"/>
        <w:snapToGrid w:val="0"/>
        <w:spacing w:line="360" w:lineRule="auto"/>
        <w:ind w:firstLine="480" w:firstLineChars="200"/>
        <w:rPr>
          <w:sz w:val="24"/>
        </w:rPr>
      </w:pPr>
      <w:r>
        <w:rPr>
          <w:sz w:val="24"/>
        </w:rPr>
        <w:t>12、根据要求，做好政策解读与培训相关工作，针对政府部门、园区、企业等开展生态环境损害赔偿制度的专题培训。</w:t>
      </w:r>
    </w:p>
    <w:p w14:paraId="7F8C1CED">
      <w:pPr>
        <w:adjustRightInd w:val="0"/>
        <w:snapToGrid w:val="0"/>
        <w:spacing w:line="360" w:lineRule="auto"/>
        <w:ind w:firstLine="482" w:firstLineChars="200"/>
        <w:rPr>
          <w:b/>
          <w:sz w:val="24"/>
        </w:rPr>
      </w:pPr>
      <w:r>
        <w:rPr>
          <w:b/>
          <w:sz w:val="24"/>
        </w:rPr>
        <w:t>四、组织实施要求</w:t>
      </w:r>
    </w:p>
    <w:p w14:paraId="5BBF866F">
      <w:pPr>
        <w:adjustRightInd w:val="0"/>
        <w:snapToGrid w:val="0"/>
        <w:spacing w:line="360" w:lineRule="auto"/>
        <w:ind w:firstLine="480" w:firstLineChars="200"/>
        <w:rPr>
          <w:sz w:val="24"/>
        </w:rPr>
      </w:pPr>
      <w:r>
        <w:rPr>
          <w:sz w:val="24"/>
        </w:rPr>
        <w:t>成立项目组，由具有丰富的生态环境损害赔偿实践经验的专业技术人员组成，按采购人要求完成技术支持等工作，与相关单位加强沟通。</w:t>
      </w:r>
    </w:p>
    <w:p w14:paraId="5556A54B">
      <w:pPr>
        <w:adjustRightInd w:val="0"/>
        <w:snapToGrid w:val="0"/>
        <w:spacing w:line="360" w:lineRule="auto"/>
        <w:ind w:firstLine="482" w:firstLineChars="200"/>
        <w:rPr>
          <w:b/>
          <w:sz w:val="24"/>
        </w:rPr>
      </w:pPr>
      <w:r>
        <w:rPr>
          <w:b/>
          <w:sz w:val="24"/>
        </w:rPr>
        <w:t>五、项目人员安排要求</w:t>
      </w:r>
    </w:p>
    <w:p w14:paraId="45E1AD98">
      <w:pPr>
        <w:adjustRightInd w:val="0"/>
        <w:snapToGrid w:val="0"/>
        <w:spacing w:line="360" w:lineRule="auto"/>
        <w:ind w:firstLine="480" w:firstLineChars="200"/>
        <w:rPr>
          <w:sz w:val="24"/>
        </w:rPr>
      </w:pPr>
      <w:r>
        <w:rPr>
          <w:color w:val="000000"/>
          <w:sz w:val="24"/>
        </w:rPr>
        <w:t>需配备丰富工作经验的专业技术人员</w:t>
      </w:r>
      <w:r>
        <w:rPr>
          <w:sz w:val="24"/>
        </w:rPr>
        <w:t>提供技术服务。配备必要的办公设备。</w:t>
      </w:r>
    </w:p>
    <w:p w14:paraId="3D3D0480">
      <w:pPr>
        <w:adjustRightInd w:val="0"/>
        <w:snapToGrid w:val="0"/>
        <w:spacing w:line="360" w:lineRule="auto"/>
        <w:ind w:firstLine="482" w:firstLineChars="200"/>
        <w:rPr>
          <w:b/>
          <w:sz w:val="24"/>
        </w:rPr>
      </w:pPr>
      <w:r>
        <w:rPr>
          <w:b/>
          <w:sz w:val="24"/>
        </w:rPr>
        <w:t>六、服务时间要求</w:t>
      </w:r>
    </w:p>
    <w:p w14:paraId="48ADEC25">
      <w:pPr>
        <w:adjustRightInd w:val="0"/>
        <w:snapToGrid w:val="0"/>
        <w:spacing w:line="360" w:lineRule="auto"/>
        <w:ind w:firstLine="480" w:firstLineChars="200"/>
        <w:rPr>
          <w:sz w:val="24"/>
        </w:rPr>
      </w:pPr>
      <w:r>
        <w:rPr>
          <w:sz w:val="24"/>
        </w:rPr>
        <w:t>自合同签订起一年。</w:t>
      </w:r>
    </w:p>
    <w:p w14:paraId="74FEDFCB">
      <w:pPr>
        <w:snapToGrid w:val="0"/>
        <w:spacing w:line="300" w:lineRule="auto"/>
        <w:jc w:val="center"/>
        <w:outlineLvl w:val="0"/>
        <w:rPr>
          <w:b/>
          <w:color w:val="000000"/>
          <w:sz w:val="36"/>
          <w:szCs w:val="36"/>
        </w:rPr>
      </w:pPr>
      <w:r>
        <w:rPr>
          <w:b/>
          <w:color w:val="000000"/>
          <w:sz w:val="36"/>
          <w:szCs w:val="36"/>
        </w:rPr>
        <w:br w:type="page"/>
      </w:r>
      <w:r>
        <w:rPr>
          <w:rFonts w:hAnsi="宋体"/>
          <w:b/>
          <w:color w:val="000000"/>
          <w:sz w:val="36"/>
          <w:szCs w:val="36"/>
        </w:rPr>
        <w:t>第四部分</w:t>
      </w:r>
      <w:r>
        <w:rPr>
          <w:b/>
          <w:color w:val="000000"/>
          <w:sz w:val="36"/>
          <w:szCs w:val="36"/>
        </w:rPr>
        <w:t xml:space="preserve">  </w:t>
      </w:r>
      <w:r>
        <w:rPr>
          <w:rFonts w:hAnsi="宋体"/>
          <w:b/>
          <w:color w:val="000000"/>
          <w:sz w:val="36"/>
          <w:szCs w:val="36"/>
        </w:rPr>
        <w:t>磋商程序和内容</w:t>
      </w:r>
    </w:p>
    <w:p w14:paraId="54AAE80A">
      <w:pPr>
        <w:autoSpaceDE w:val="0"/>
        <w:autoSpaceDN w:val="0"/>
        <w:adjustRightInd w:val="0"/>
        <w:snapToGrid w:val="0"/>
        <w:spacing w:line="360" w:lineRule="auto"/>
        <w:ind w:firstLine="482" w:firstLineChars="200"/>
        <w:jc w:val="left"/>
        <w:rPr>
          <w:b/>
          <w:bCs/>
          <w:color w:val="000000"/>
          <w:sz w:val="24"/>
        </w:rPr>
      </w:pPr>
      <w:r>
        <w:rPr>
          <w:b/>
          <w:bCs/>
          <w:color w:val="000000"/>
          <w:sz w:val="24"/>
        </w:rPr>
        <w:t>一、采购人组织磋商活动</w:t>
      </w:r>
    </w:p>
    <w:p w14:paraId="23A5EE5D">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1、成立竞争性磋商小组。竞争性磋商小组由采购人代表和评审专家共3人及以上单数组成，其中评审专家人数不得少于竞争性磋商小组成员总数的2/3。采购人不得以评审专家身份参加本部门或本单位采购项目的评审。招标代理机构人员不得参加本机构代理的采购项目的评审。</w:t>
      </w:r>
    </w:p>
    <w:p w14:paraId="6BF895F3">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采用竞争性磋商的政府采购项目，评审专家应当从政府采购评审专家库内相关专业的专家名单中随机抽取。技术复杂、专业性强的竞争性磋商采购项目，通过随机方式难以确定合适的评审专家的，经主管预算单位同意，可以自行选定评审专家。技术复杂、专业性强的竞争性磋商采购项目，评审专家中应当包含1名法律专家。</w:t>
      </w:r>
    </w:p>
    <w:p w14:paraId="7B679A58">
      <w:pPr>
        <w:spacing w:line="360" w:lineRule="auto"/>
        <w:ind w:firstLine="480" w:firstLineChars="200"/>
        <w:jc w:val="left"/>
        <w:rPr>
          <w:color w:val="000000"/>
          <w:sz w:val="24"/>
        </w:rPr>
      </w:pPr>
      <w:r>
        <w:rPr>
          <w:color w:val="000000"/>
          <w:sz w:val="24"/>
        </w:rPr>
        <w:t>2、竞争性磋商小组的职责：</w:t>
      </w:r>
    </w:p>
    <w:p w14:paraId="2F021377">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评审专家应当遵守评审工作纪律，不得泄露评审情况和评审中获悉的商业秘密。</w:t>
      </w:r>
    </w:p>
    <w:p w14:paraId="14E11E01">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磋商小组在评审过程中发现供应商有行贿、提供虚假材料或者串通等违法行为的，应当及时向采购人报告。</w:t>
      </w:r>
    </w:p>
    <w:p w14:paraId="21C7192C">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评审专家在评审过程中受到非法干涉的，应当及时向纪检、监察等部门举报。</w:t>
      </w:r>
    </w:p>
    <w:p w14:paraId="4F3A83DF">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B6959D4">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磋商文件内容违反国家有关强制性规定的，磋商小组应当停止评审并向采购人或者采购代理机构说明情况。</w:t>
      </w:r>
    </w:p>
    <w:p w14:paraId="53D979B0">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3、竞争性磋商小组成员的义务：</w:t>
      </w:r>
    </w:p>
    <w:p w14:paraId="7F46C675">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遵纪守法，客观、公正、廉洁地履行职责；根据采购文件的规定独立进行评审，对个人的评审意见承担法律责任；参与评审报告的起草；配合采购人、采购中心答复供应商提出的质疑；配合财政部门的投诉处理和监督检查工作。</w:t>
      </w:r>
    </w:p>
    <w:p w14:paraId="2E1DC74A">
      <w:pPr>
        <w:pStyle w:val="10"/>
        <w:snapToGrid w:val="0"/>
        <w:spacing w:line="360" w:lineRule="auto"/>
        <w:ind w:firstLine="482" w:firstLineChars="200"/>
        <w:contextualSpacing/>
        <w:jc w:val="left"/>
        <w:rPr>
          <w:rFonts w:ascii="Times New Roman" w:hAnsi="Times New Roman" w:eastAsia="宋体"/>
          <w:b/>
          <w:bCs/>
          <w:color w:val="000000"/>
          <w:kern w:val="2"/>
          <w:sz w:val="24"/>
          <w:szCs w:val="24"/>
        </w:rPr>
      </w:pPr>
      <w:r>
        <w:rPr>
          <w:rFonts w:ascii="Times New Roman" w:hAnsi="Times New Roman" w:eastAsia="宋体"/>
          <w:b/>
          <w:bCs/>
          <w:color w:val="000000"/>
          <w:kern w:val="2"/>
          <w:sz w:val="24"/>
          <w:szCs w:val="24"/>
        </w:rPr>
        <w:t>二、供应商的法定代表人或授权人须持本人身份证准时参加磋商。</w:t>
      </w:r>
    </w:p>
    <w:p w14:paraId="5634753C">
      <w:pPr>
        <w:autoSpaceDE w:val="0"/>
        <w:autoSpaceDN w:val="0"/>
        <w:adjustRightInd w:val="0"/>
        <w:snapToGrid w:val="0"/>
        <w:spacing w:line="360" w:lineRule="auto"/>
        <w:ind w:firstLine="482" w:firstLineChars="200"/>
        <w:jc w:val="left"/>
        <w:rPr>
          <w:b/>
          <w:bCs/>
          <w:color w:val="000000"/>
          <w:sz w:val="24"/>
        </w:rPr>
      </w:pPr>
      <w:r>
        <w:rPr>
          <w:b/>
          <w:bCs/>
          <w:color w:val="000000"/>
          <w:sz w:val="24"/>
        </w:rPr>
        <w:t>三、评审程序、内容</w:t>
      </w:r>
    </w:p>
    <w:p w14:paraId="0477781E">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1、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015D31E2">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002D032">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53F8DC1E">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2、磋商小组所有成员应当集中与单一供应商分别进行磋商，并给予所有参加磋商的供应商平等的磋商机会。</w:t>
      </w:r>
    </w:p>
    <w:p w14:paraId="691FAC20">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3、在磋商过程中，磋商小组可以根据磋商文件和磋商情况实质性变动采购需求中的技术、服务要求以及合同草案条款，但不得变动磋商文件中的其他内容。实质性变动的内容，须经采购人代表确认。</w:t>
      </w:r>
    </w:p>
    <w:p w14:paraId="6C7DE522">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对磋商文件作出的实质性变动是磋商文件的有效组成部分，磋商小组应当及时以书面形式同时通知所有参加磋商的供应商。</w:t>
      </w:r>
    </w:p>
    <w:p w14:paraId="2B8BC071">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供应商应当按照磋商文件的变动情况和磋商小组的要求重新提交响应文件，并由其法定代表人或授权代表签字或者加盖公章。由授权代表签字的，应当附法定代表人授权书。</w:t>
      </w:r>
    </w:p>
    <w:p w14:paraId="7DD61607">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4、最后报价是供应商响应文件的有效组成部分。除非在磋商中磋商小组对采购人需求内容作了调整增加，或对采购内容作了实质性变更，否则</w:t>
      </w:r>
      <w:r>
        <w:rPr>
          <w:rFonts w:ascii="Times New Roman" w:hAnsi="Times New Roman" w:eastAsia="宋体"/>
          <w:b/>
          <w:color w:val="000000"/>
          <w:kern w:val="2"/>
          <w:sz w:val="24"/>
          <w:szCs w:val="24"/>
        </w:rPr>
        <w:t>采购人不接受供应商高于自己前一轮的磋商报价</w:t>
      </w:r>
      <w:r>
        <w:rPr>
          <w:rFonts w:ascii="Times New Roman" w:hAnsi="Times New Roman" w:eastAsia="宋体"/>
          <w:color w:val="000000"/>
          <w:kern w:val="2"/>
          <w:sz w:val="24"/>
          <w:szCs w:val="24"/>
        </w:rPr>
        <w:t>。</w:t>
      </w:r>
    </w:p>
    <w:p w14:paraId="65FC2ACA">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5、已提交响应文件的供应商，在提交最后报价之前，可以根据磋商情况退出磋商，须以书面形式说明退出磋商的原因，经磋商小组同意可以退出磋商。</w:t>
      </w:r>
    </w:p>
    <w:p w14:paraId="272D4A3E">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6、在磋商中，磋商的任何一方不得透露与磋商有关的其他响应磋商的供应商的技术资料、价格及其他信息。</w:t>
      </w:r>
    </w:p>
    <w:p w14:paraId="1F0AE3FD">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14:paraId="4980A330">
      <w:pPr>
        <w:pStyle w:val="10"/>
        <w:snapToGrid w:val="0"/>
        <w:spacing w:line="360" w:lineRule="auto"/>
        <w:ind w:firstLine="480" w:firstLineChars="200"/>
        <w:contextualSpacing/>
        <w:jc w:val="left"/>
        <w:rPr>
          <w:rFonts w:ascii="Times New Roman" w:hAnsi="Times New Roman" w:eastAsia="宋体"/>
          <w:color w:val="000000"/>
          <w:kern w:val="2"/>
          <w:sz w:val="24"/>
          <w:szCs w:val="24"/>
        </w:rPr>
      </w:pPr>
      <w:r>
        <w:rPr>
          <w:rFonts w:ascii="Times New Roman" w:hAnsi="Times New Roman" w:eastAsia="宋体"/>
          <w:color w:val="000000"/>
          <w:kern w:val="2"/>
          <w:sz w:val="24"/>
          <w:szCs w:val="24"/>
        </w:rPr>
        <w:t>磋商时间由磋商小组掌握。</w:t>
      </w:r>
    </w:p>
    <w:p w14:paraId="6352CFA0">
      <w:pPr>
        <w:pStyle w:val="10"/>
        <w:snapToGrid w:val="0"/>
        <w:spacing w:line="360" w:lineRule="auto"/>
        <w:ind w:firstLine="482" w:firstLineChars="200"/>
        <w:contextualSpacing/>
        <w:jc w:val="left"/>
        <w:rPr>
          <w:rFonts w:hint="eastAsia" w:ascii="Times New Roman" w:hAnsi="Times New Roman" w:eastAsia="宋体" w:cs="Times New Roman"/>
          <w:b/>
          <w:bCs/>
          <w:color w:val="000000"/>
          <w:kern w:val="2"/>
          <w:sz w:val="24"/>
          <w:szCs w:val="24"/>
        </w:rPr>
      </w:pPr>
      <w:r>
        <w:rPr>
          <w:rFonts w:hint="eastAsia" w:ascii="Times New Roman" w:hAnsi="Times New Roman" w:eastAsia="宋体" w:cs="Times New Roman"/>
          <w:b/>
          <w:bCs/>
          <w:color w:val="000000"/>
          <w:kern w:val="2"/>
          <w:sz w:val="24"/>
          <w:szCs w:val="24"/>
        </w:rPr>
        <w:t>四、评审方法-综合评分法</w:t>
      </w:r>
    </w:p>
    <w:p w14:paraId="5D9FA746">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经磋商确定最终采购需求和提交最后报价的供应商后，由磋商小组采用综合评分法对提交最后报价的供应商的响应文件和最后报价进行综合评分。</w:t>
      </w:r>
    </w:p>
    <w:p w14:paraId="571417A8">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综合评分法，是指响应文件满足磋商文件全部实质性要求且按评审因素的量化指标评审得分最高的供应商为成交候选供应商的评审方法。</w:t>
      </w:r>
    </w:p>
    <w:p w14:paraId="2873CAB8">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评审时，磋商小组各成员应当独立对每个有效响应的文件进行评价、打分，然后汇总每个供应商每项评分因素的得分。</w:t>
      </w:r>
    </w:p>
    <w:p w14:paraId="46F1CFBA">
      <w:pPr>
        <w:pStyle w:val="10"/>
        <w:snapToGrid w:val="0"/>
        <w:spacing w:line="360" w:lineRule="auto"/>
        <w:ind w:firstLine="480" w:firstLineChars="200"/>
        <w:contextualSpacing/>
        <w:jc w:val="left"/>
        <w:rPr>
          <w:rFonts w:ascii="Times New Roman" w:hAnsi="Times New Roman" w:eastAsia="宋体" w:cs="Times New Roman"/>
          <w:color w:val="000000"/>
          <w:kern w:val="2"/>
          <w:sz w:val="24"/>
          <w:szCs w:val="24"/>
        </w:rPr>
      </w:pPr>
      <w:r>
        <w:rPr>
          <w:rFonts w:ascii="Times New Roman" w:hAnsi="Times New Roman" w:eastAsia="宋体" w:cs="Times New Roman"/>
          <w:color w:val="000000"/>
          <w:kern w:val="2"/>
          <w:sz w:val="24"/>
          <w:szCs w:val="24"/>
        </w:rPr>
        <w:t>本项目磋商的商务技术和报价评审总分值为</w:t>
      </w:r>
      <w:r>
        <w:rPr>
          <w:rFonts w:ascii="Times New Roman" w:hAnsi="Times New Roman" w:eastAsia="宋体" w:cs="Times New Roman"/>
          <w:b/>
          <w:bCs/>
          <w:color w:val="000000"/>
          <w:kern w:val="2"/>
          <w:sz w:val="24"/>
          <w:szCs w:val="24"/>
        </w:rPr>
        <w:t>100分</w:t>
      </w:r>
      <w:r>
        <w:rPr>
          <w:rFonts w:ascii="Times New Roman" w:hAnsi="Times New Roman" w:eastAsia="宋体" w:cs="Times New Roman"/>
          <w:color w:val="000000"/>
          <w:kern w:val="2"/>
          <w:sz w:val="24"/>
          <w:szCs w:val="24"/>
        </w:rPr>
        <w:t xml:space="preserve">。两部分评审因素比重如下： </w:t>
      </w:r>
    </w:p>
    <w:p w14:paraId="41AD2D22">
      <w:pPr>
        <w:pStyle w:val="10"/>
        <w:snapToGrid w:val="0"/>
        <w:spacing w:line="360" w:lineRule="auto"/>
        <w:ind w:firstLine="480" w:firstLineChars="200"/>
        <w:contextualSpacing/>
        <w:jc w:val="left"/>
        <w:rPr>
          <w:rFonts w:ascii="Times New Roman" w:hAnsi="Times New Roman" w:eastAsia="宋体" w:cs="Times New Roman"/>
          <w:color w:val="000000"/>
          <w:kern w:val="2"/>
          <w:sz w:val="24"/>
          <w:szCs w:val="24"/>
        </w:rPr>
      </w:pPr>
      <w:r>
        <w:rPr>
          <w:rFonts w:ascii="Times New Roman" w:hAnsi="Times New Roman" w:eastAsia="宋体" w:cs="Times New Roman"/>
          <w:color w:val="000000"/>
          <w:kern w:val="2"/>
          <w:sz w:val="24"/>
          <w:szCs w:val="24"/>
        </w:rPr>
        <w:t>商务技术分值占总分值的比重为</w:t>
      </w:r>
      <w:r>
        <w:rPr>
          <w:rFonts w:ascii="Times New Roman" w:hAnsi="Times New Roman" w:eastAsia="宋体" w:cs="Times New Roman"/>
          <w:b/>
          <w:bCs/>
          <w:color w:val="000000"/>
          <w:kern w:val="2"/>
          <w:sz w:val="24"/>
          <w:szCs w:val="24"/>
          <w:u w:val="single"/>
        </w:rPr>
        <w:t xml:space="preserve"> </w:t>
      </w:r>
      <w:r>
        <w:rPr>
          <w:rFonts w:hint="eastAsia" w:ascii="Times New Roman" w:hAnsi="Times New Roman" w:eastAsia="宋体" w:cs="Times New Roman"/>
          <w:b/>
          <w:bCs/>
          <w:color w:val="000000"/>
          <w:kern w:val="2"/>
          <w:sz w:val="24"/>
          <w:szCs w:val="24"/>
          <w:u w:val="single"/>
        </w:rPr>
        <w:t>90</w:t>
      </w:r>
      <w:r>
        <w:rPr>
          <w:rFonts w:ascii="Times New Roman" w:hAnsi="Times New Roman" w:eastAsia="宋体" w:cs="Times New Roman"/>
          <w:b/>
          <w:bCs/>
          <w:color w:val="000000"/>
          <w:kern w:val="2"/>
          <w:sz w:val="24"/>
          <w:szCs w:val="24"/>
          <w:u w:val="single"/>
        </w:rPr>
        <w:t>%（权重）</w:t>
      </w:r>
      <w:r>
        <w:rPr>
          <w:rFonts w:ascii="Times New Roman" w:hAnsi="Times New Roman" w:eastAsia="宋体" w:cs="Times New Roman"/>
          <w:color w:val="000000"/>
          <w:kern w:val="2"/>
          <w:sz w:val="24"/>
          <w:szCs w:val="24"/>
        </w:rPr>
        <w:t>，按所有评委评分的算术平均值计算，分值四舍五入保留两位小数；报价分值占总分值的比重为</w:t>
      </w:r>
      <w:r>
        <w:rPr>
          <w:rFonts w:ascii="Times New Roman" w:hAnsi="Times New Roman" w:eastAsia="宋体" w:cs="Times New Roman"/>
          <w:b/>
          <w:bCs/>
          <w:color w:val="000000"/>
          <w:kern w:val="2"/>
          <w:sz w:val="24"/>
          <w:szCs w:val="24"/>
          <w:u w:val="single"/>
        </w:rPr>
        <w:t xml:space="preserve"> </w:t>
      </w:r>
      <w:r>
        <w:rPr>
          <w:rFonts w:hint="eastAsia" w:ascii="Times New Roman" w:hAnsi="Times New Roman" w:eastAsia="宋体" w:cs="Times New Roman"/>
          <w:b/>
          <w:bCs/>
          <w:color w:val="000000"/>
          <w:kern w:val="2"/>
          <w:sz w:val="24"/>
          <w:szCs w:val="24"/>
          <w:u w:val="single"/>
        </w:rPr>
        <w:t>10</w:t>
      </w:r>
      <w:r>
        <w:rPr>
          <w:rFonts w:ascii="Times New Roman" w:hAnsi="Times New Roman" w:eastAsia="宋体" w:cs="Times New Roman"/>
          <w:b/>
          <w:bCs/>
          <w:color w:val="000000"/>
          <w:kern w:val="2"/>
          <w:sz w:val="24"/>
          <w:szCs w:val="24"/>
          <w:u w:val="single"/>
        </w:rPr>
        <w:t>%（权重）</w:t>
      </w:r>
      <w:r>
        <w:rPr>
          <w:rFonts w:ascii="Times New Roman" w:hAnsi="Times New Roman" w:eastAsia="宋体" w:cs="Times New Roman"/>
          <w:color w:val="000000"/>
          <w:kern w:val="2"/>
          <w:sz w:val="24"/>
          <w:szCs w:val="24"/>
        </w:rPr>
        <w:t xml:space="preserve"> ，统一采用低价优先法计算直接取得，分值四舍五入保留两位小数。两项得分相加为供应商的综合得分，综合得分最高的供应商推荐为项目第一成交候选人，并出具评审磋商报告。</w:t>
      </w:r>
    </w:p>
    <w:p w14:paraId="7E86FFB4">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ascii="Times New Roman" w:hAnsi="Times New Roman" w:eastAsia="宋体" w:cs="Times New Roman"/>
          <w:color w:val="000000"/>
          <w:kern w:val="2"/>
          <w:sz w:val="24"/>
          <w:szCs w:val="24"/>
        </w:rPr>
        <w:t>确定成交候选人的特殊情况处理：若总分相同，则按最终报价响应得分高者优先中标；若总分且最终报价响应得分相同，则采取现场抽签的方式确定（投标供应商的抽签顺序分别为各投标供应商递交响应文件签到顺序号）。</w:t>
      </w:r>
    </w:p>
    <w:p w14:paraId="1957294D">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（一）审查响应文件的有效性、完整性、响应程度</w:t>
      </w:r>
    </w:p>
    <w:p w14:paraId="26679A5C">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1.供应商资格是否符合；</w:t>
      </w:r>
    </w:p>
    <w:p w14:paraId="615196F6">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2.响应文件是否完整；</w:t>
      </w:r>
    </w:p>
    <w:p w14:paraId="05831378">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3.响应文件是否恰当地签署；</w:t>
      </w:r>
    </w:p>
    <w:p w14:paraId="15BF8F71">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4.是否作出实质性响应（是否有实质性响应，只根据响应文件本身，而不寻求外部证据）；</w:t>
      </w:r>
    </w:p>
    <w:p w14:paraId="1729CD7A">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5.是否有计算错误。</w:t>
      </w:r>
    </w:p>
    <w:p w14:paraId="1FDAE458">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（二）误差纠正</w:t>
      </w:r>
    </w:p>
    <w:p w14:paraId="27885557">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1.如果单价汇总金额与总价金额有出入，以单价金额计算结果为准；</w:t>
      </w:r>
    </w:p>
    <w:p w14:paraId="4A9AFB2C">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2.单价金额小数点有明显错位的，应以总价为准；</w:t>
      </w:r>
    </w:p>
    <w:p w14:paraId="5E40235A">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3.正本与副本有矛盾的，以正本为准；</w:t>
      </w:r>
    </w:p>
    <w:p w14:paraId="176A7347">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4.若文件大写表示的数据与数字表示的有差别，以大写表示的数据为准。</w:t>
      </w:r>
    </w:p>
    <w:p w14:paraId="32650EB2">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（三）出现下列情形之一的，作无效响应处理</w:t>
      </w:r>
    </w:p>
    <w:p w14:paraId="646AAC98">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1.未按照磋商文件规定要求装订、密封、签署、盖章的；</w:t>
      </w:r>
    </w:p>
    <w:p w14:paraId="32F1B1AC">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2.不具备磋商文件中规定的资格要求的；</w:t>
      </w:r>
    </w:p>
    <w:p w14:paraId="3BCAB8ED">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3.响应报价超出预算的；</w:t>
      </w:r>
    </w:p>
    <w:p w14:paraId="67C0F713">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4.不符合法律、法规和磋商文件中规定的其他实质性要求的。</w:t>
      </w:r>
    </w:p>
    <w:p w14:paraId="0668DF1C">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（四）出现下列情形之一的，磋商失败</w:t>
      </w:r>
    </w:p>
    <w:p w14:paraId="0F88E561">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1.符合条件的供应商或者对磋商文件作实质响应的供应商不足3家的（市场竞争不充分的科研项目，以及需要扶持的科技成果转化项目可以是2家）；</w:t>
      </w:r>
    </w:p>
    <w:p w14:paraId="569069C8">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2.出现影响采购公正的违法违规行为的；</w:t>
      </w:r>
    </w:p>
    <w:p w14:paraId="20F9EDD8">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3.供应商的最后报价均超过了采购预算，采购人不能支付的；</w:t>
      </w:r>
    </w:p>
    <w:p w14:paraId="0C451C14">
      <w:pPr>
        <w:pStyle w:val="10"/>
        <w:snapToGrid w:val="0"/>
        <w:spacing w:line="360" w:lineRule="auto"/>
        <w:ind w:firstLine="480" w:firstLineChars="200"/>
        <w:contextualSpacing/>
        <w:jc w:val="left"/>
        <w:rPr>
          <w:rFonts w:hint="eastAsia"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4.因重大变故，采购任务取消的。</w:t>
      </w:r>
    </w:p>
    <w:p w14:paraId="69B9DF83">
      <w:pPr>
        <w:pStyle w:val="10"/>
        <w:snapToGrid w:val="0"/>
        <w:spacing w:line="360" w:lineRule="auto"/>
        <w:ind w:firstLine="480" w:firstLineChars="200"/>
        <w:contextualSpacing/>
        <w:jc w:val="left"/>
        <w:rPr>
          <w:rFonts w:hint="eastAsia" w:ascii="Times New Roman" w:hAnsi="Times New Roman" w:eastAsia="宋体" w:cs="Times New Roman"/>
          <w:b/>
          <w:bCs/>
          <w:color w:val="000000"/>
          <w:kern w:val="2"/>
          <w:sz w:val="24"/>
          <w:szCs w:val="24"/>
        </w:rPr>
      </w:pPr>
      <w:r>
        <w:rPr>
          <w:rFonts w:hint="eastAsia" w:ascii="Times New Roman" w:hAnsi="Times New Roman" w:eastAsia="宋体" w:cs="Times New Roman"/>
          <w:color w:val="000000"/>
          <w:kern w:val="2"/>
          <w:sz w:val="24"/>
          <w:szCs w:val="24"/>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14:paraId="137F0D99">
      <w:pPr>
        <w:pStyle w:val="10"/>
        <w:snapToGrid w:val="0"/>
        <w:spacing w:line="360" w:lineRule="auto"/>
        <w:ind w:firstLine="482" w:firstLineChars="200"/>
        <w:contextualSpacing/>
        <w:jc w:val="left"/>
        <w:rPr>
          <w:rFonts w:hint="eastAsia" w:ascii="Times New Roman" w:hAnsi="Times New Roman" w:eastAsia="宋体" w:cs="Times New Roman"/>
          <w:b/>
          <w:bCs/>
          <w:color w:val="000000"/>
          <w:kern w:val="2"/>
          <w:sz w:val="24"/>
          <w:szCs w:val="24"/>
        </w:rPr>
      </w:pPr>
      <w:r>
        <w:rPr>
          <w:rFonts w:hint="eastAsia" w:ascii="Times New Roman" w:hAnsi="Times New Roman" w:eastAsia="宋体" w:cs="Times New Roman"/>
          <w:b/>
          <w:bCs/>
          <w:color w:val="000000"/>
          <w:kern w:val="2"/>
          <w:sz w:val="24"/>
          <w:szCs w:val="24"/>
        </w:rPr>
        <w:br w:type="page"/>
      </w:r>
      <w:r>
        <w:rPr>
          <w:rFonts w:hint="eastAsia" w:ascii="Times New Roman" w:hAnsi="Times New Roman" w:eastAsia="宋体" w:cs="Times New Roman"/>
          <w:b/>
          <w:bCs/>
          <w:color w:val="000000"/>
          <w:kern w:val="2"/>
          <w:sz w:val="24"/>
          <w:szCs w:val="24"/>
        </w:rPr>
        <w:t>五、评审标准</w:t>
      </w:r>
    </w:p>
    <w:p w14:paraId="739E2A62">
      <w:pPr>
        <w:pStyle w:val="10"/>
        <w:snapToGrid w:val="0"/>
        <w:spacing w:line="360" w:lineRule="auto"/>
        <w:ind w:firstLine="482" w:firstLineChars="200"/>
        <w:contextualSpacing/>
        <w:jc w:val="left"/>
        <w:rPr>
          <w:rFonts w:hint="eastAsia" w:ascii="Times New Roman" w:hAnsi="Times New Roman" w:eastAsia="宋体" w:cs="Times New Roman"/>
          <w:b/>
          <w:bCs/>
          <w:color w:val="000000"/>
          <w:kern w:val="2"/>
          <w:sz w:val="24"/>
          <w:szCs w:val="24"/>
        </w:rPr>
      </w:pPr>
      <w:r>
        <w:rPr>
          <w:rFonts w:hint="eastAsia" w:ascii="Times New Roman" w:hAnsi="Times New Roman" w:eastAsia="宋体" w:cs="Times New Roman"/>
          <w:b/>
          <w:bCs/>
          <w:color w:val="000000"/>
          <w:kern w:val="2"/>
          <w:sz w:val="24"/>
          <w:szCs w:val="24"/>
        </w:rPr>
        <w:t>（一）商务技术</w:t>
      </w:r>
      <w:r>
        <w:rPr>
          <w:rFonts w:hint="eastAsia" w:ascii="Times New Roman" w:hAnsi="Times New Roman" w:eastAsia="宋体" w:cs="Times New Roman"/>
          <w:b/>
          <w:bCs/>
          <w:color w:val="000000"/>
          <w:kern w:val="2"/>
          <w:sz w:val="24"/>
          <w:szCs w:val="24"/>
          <w:highlight w:val="none"/>
        </w:rPr>
        <w:t>分：90分</w:t>
      </w:r>
    </w:p>
    <w:p w14:paraId="3814DC7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如果磋商小组由3人组成，供应商得分为磋商小组3个成员的平均分；如果磋商小组由5人以上组成，供应商得分为磋商小组成员评分中去除一个最高分和一个最低分后的平均分，分值保留小数点后两位。以下所设分值均为各条评分最大得分值。</w:t>
      </w:r>
    </w:p>
    <w:tbl>
      <w:tblPr>
        <w:tblStyle w:val="8"/>
        <w:tblW w:w="92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09"/>
        <w:gridCol w:w="7263"/>
      </w:tblGrid>
      <w:tr w14:paraId="4144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trPr>
        <w:tc>
          <w:tcPr>
            <w:tcW w:w="1276" w:type="dxa"/>
            <w:tcBorders>
              <w:top w:val="single" w:color="auto" w:sz="4" w:space="0"/>
              <w:left w:val="single" w:color="auto" w:sz="4" w:space="0"/>
              <w:bottom w:val="single" w:color="auto" w:sz="4" w:space="0"/>
              <w:right w:val="single" w:color="auto" w:sz="4" w:space="0"/>
            </w:tcBorders>
            <w:noWrap w:val="0"/>
            <w:vAlign w:val="center"/>
          </w:tcPr>
          <w:p w14:paraId="0245AB35">
            <w:pPr>
              <w:spacing w:line="360" w:lineRule="exact"/>
              <w:jc w:val="center"/>
              <w:rPr>
                <w:b/>
                <w:bCs/>
                <w:color w:val="000000"/>
                <w:sz w:val="24"/>
              </w:rPr>
            </w:pPr>
            <w:r>
              <w:rPr>
                <w:rFonts w:hAnsi="宋体"/>
                <w:b/>
                <w:bCs/>
                <w:color w:val="000000"/>
                <w:sz w:val="24"/>
              </w:rPr>
              <w:t>评分项目</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9227F11">
            <w:pPr>
              <w:spacing w:line="360" w:lineRule="exact"/>
              <w:jc w:val="center"/>
              <w:rPr>
                <w:b/>
                <w:bCs/>
                <w:color w:val="000000"/>
                <w:sz w:val="24"/>
              </w:rPr>
            </w:pPr>
            <w:r>
              <w:rPr>
                <w:rFonts w:hAnsi="宋体"/>
                <w:b/>
                <w:bCs/>
                <w:color w:val="000000"/>
                <w:sz w:val="24"/>
              </w:rPr>
              <w:t>分值</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6D9018F2">
            <w:pPr>
              <w:spacing w:line="360" w:lineRule="exact"/>
              <w:ind w:firstLine="562"/>
              <w:jc w:val="center"/>
              <w:rPr>
                <w:b/>
                <w:bCs/>
                <w:color w:val="000000"/>
                <w:sz w:val="24"/>
              </w:rPr>
            </w:pPr>
            <w:r>
              <w:rPr>
                <w:rFonts w:hAnsi="宋体"/>
                <w:b/>
                <w:bCs/>
                <w:color w:val="000000"/>
                <w:sz w:val="24"/>
              </w:rPr>
              <w:t>评分标准</w:t>
            </w:r>
          </w:p>
        </w:tc>
      </w:tr>
      <w:tr w14:paraId="54C9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276" w:type="dxa"/>
            <w:tcBorders>
              <w:left w:val="single" w:color="auto" w:sz="4" w:space="0"/>
              <w:right w:val="single" w:color="auto" w:sz="4" w:space="0"/>
            </w:tcBorders>
            <w:noWrap w:val="0"/>
            <w:vAlign w:val="center"/>
          </w:tcPr>
          <w:p w14:paraId="6B91976F">
            <w:pPr>
              <w:autoSpaceDE w:val="0"/>
              <w:autoSpaceDN w:val="0"/>
              <w:adjustRightInd w:val="0"/>
              <w:spacing w:line="360" w:lineRule="exact"/>
              <w:jc w:val="center"/>
              <w:rPr>
                <w:color w:val="000000"/>
                <w:szCs w:val="21"/>
              </w:rPr>
            </w:pPr>
            <w:r>
              <w:rPr>
                <w:rFonts w:hint="eastAsia"/>
                <w:color w:val="000000"/>
                <w:szCs w:val="21"/>
              </w:rPr>
              <w:t>团队能力</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012AA48">
            <w:pPr>
              <w:autoSpaceDE w:val="0"/>
              <w:autoSpaceDN w:val="0"/>
              <w:adjustRightInd w:val="0"/>
              <w:spacing w:line="360" w:lineRule="exact"/>
              <w:jc w:val="center"/>
              <w:rPr>
                <w:color w:val="000000"/>
                <w:szCs w:val="21"/>
              </w:rPr>
            </w:pPr>
            <w:r>
              <w:rPr>
                <w:rFonts w:hint="eastAsia"/>
                <w:color w:val="000000"/>
                <w:szCs w:val="21"/>
              </w:rPr>
              <w:t>20</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4EE91A3C">
            <w:pPr>
              <w:rPr>
                <w:color w:val="000000"/>
                <w:szCs w:val="21"/>
              </w:rPr>
            </w:pPr>
            <w:r>
              <w:rPr>
                <w:color w:val="000000"/>
                <w:szCs w:val="21"/>
              </w:rPr>
              <w:t>1</w:t>
            </w:r>
            <w:r>
              <w:rPr>
                <w:rFonts w:hint="eastAsia"/>
                <w:color w:val="000000"/>
                <w:szCs w:val="21"/>
              </w:rPr>
              <w:t>.项目负责人：</w:t>
            </w:r>
            <w:r>
              <w:rPr>
                <w:color w:val="000000"/>
                <w:szCs w:val="21"/>
              </w:rPr>
              <w:t>拟派项目负责人具有环境保护专业高级职称的得</w:t>
            </w:r>
            <w:r>
              <w:rPr>
                <w:rFonts w:hint="eastAsia"/>
                <w:color w:val="000000"/>
                <w:szCs w:val="21"/>
                <w:lang w:val="en-US" w:eastAsia="zh-CN"/>
              </w:rPr>
              <w:t>3</w:t>
            </w:r>
            <w:r>
              <w:rPr>
                <w:color w:val="000000"/>
                <w:szCs w:val="21"/>
              </w:rPr>
              <w:t>分</w:t>
            </w:r>
            <w:r>
              <w:rPr>
                <w:rFonts w:hint="eastAsia"/>
                <w:color w:val="000000"/>
                <w:szCs w:val="21"/>
                <w:lang w:eastAsia="zh-CN"/>
              </w:rPr>
              <w:t>，</w:t>
            </w:r>
            <w:r>
              <w:rPr>
                <w:rFonts w:hint="eastAsia"/>
                <w:color w:val="000000"/>
                <w:szCs w:val="21"/>
                <w:lang w:val="en-US" w:eastAsia="zh-CN"/>
              </w:rPr>
              <w:t>具有环境保护专业正高级职称的得5分</w:t>
            </w:r>
            <w:r>
              <w:rPr>
                <w:color w:val="000000"/>
                <w:szCs w:val="21"/>
              </w:rPr>
              <w:t>；项目负责人进入省级（含）</w:t>
            </w:r>
            <w:r>
              <w:rPr>
                <w:rFonts w:hint="eastAsia"/>
                <w:color w:val="000000"/>
                <w:szCs w:val="21"/>
                <w:lang w:val="en-US" w:eastAsia="zh-CN"/>
              </w:rPr>
              <w:t>及</w:t>
            </w:r>
            <w:r>
              <w:rPr>
                <w:color w:val="000000"/>
                <w:szCs w:val="21"/>
              </w:rPr>
              <w:t>以上生态环境损害评估领域专家库</w:t>
            </w:r>
            <w:r>
              <w:rPr>
                <w:rFonts w:hint="eastAsia"/>
                <w:color w:val="000000"/>
                <w:szCs w:val="21"/>
                <w:lang w:val="en-US" w:eastAsia="zh-CN"/>
              </w:rPr>
              <w:t>或法院、检察院环境资源领域专家库的得5分；</w:t>
            </w:r>
            <w:r>
              <w:rPr>
                <w:color w:val="000000"/>
                <w:szCs w:val="21"/>
              </w:rPr>
              <w:t>市级（含）</w:t>
            </w:r>
            <w:r>
              <w:rPr>
                <w:rFonts w:hint="eastAsia"/>
                <w:color w:val="000000"/>
                <w:szCs w:val="21"/>
                <w:lang w:val="en-US" w:eastAsia="zh-CN"/>
              </w:rPr>
              <w:t>及</w:t>
            </w:r>
            <w:r>
              <w:rPr>
                <w:color w:val="000000"/>
                <w:szCs w:val="21"/>
              </w:rPr>
              <w:t>以上</w:t>
            </w:r>
            <w:r>
              <w:rPr>
                <w:rFonts w:hint="eastAsia"/>
                <w:color w:val="000000"/>
                <w:szCs w:val="21"/>
                <w:lang w:val="en-US" w:eastAsia="zh-CN"/>
              </w:rPr>
              <w:t>的</w:t>
            </w:r>
            <w:r>
              <w:rPr>
                <w:color w:val="000000"/>
                <w:szCs w:val="21"/>
              </w:rPr>
              <w:t>得</w:t>
            </w:r>
            <w:r>
              <w:rPr>
                <w:rFonts w:hint="eastAsia"/>
                <w:color w:val="000000"/>
                <w:szCs w:val="21"/>
                <w:lang w:val="en-US" w:eastAsia="zh-CN"/>
              </w:rPr>
              <w:t>2</w:t>
            </w:r>
            <w:r>
              <w:rPr>
                <w:color w:val="000000"/>
                <w:szCs w:val="21"/>
              </w:rPr>
              <w:t>分；本项总分12分。</w:t>
            </w:r>
            <w:r>
              <w:rPr>
                <w:rFonts w:hint="eastAsia" w:ascii="宋体" w:hAnsi="宋体" w:eastAsia="宋体" w:cs="宋体"/>
                <w:b/>
                <w:bCs/>
                <w:sz w:val="21"/>
                <w:szCs w:val="21"/>
              </w:rPr>
              <w:t>（投标时须提供入选专家库的证明文件并加盖供应商公章。）</w:t>
            </w:r>
          </w:p>
          <w:p w14:paraId="74F69BBA">
            <w:pPr>
              <w:widowControl/>
              <w:adjustRightInd w:val="0"/>
              <w:snapToGrid w:val="0"/>
              <w:spacing w:line="360" w:lineRule="exact"/>
              <w:rPr>
                <w:color w:val="000000"/>
                <w:szCs w:val="21"/>
              </w:rPr>
            </w:pPr>
            <w:r>
              <w:rPr>
                <w:color w:val="000000"/>
                <w:szCs w:val="21"/>
              </w:rPr>
              <w:t>2</w:t>
            </w:r>
            <w:r>
              <w:rPr>
                <w:rFonts w:hint="eastAsia"/>
                <w:color w:val="000000"/>
                <w:szCs w:val="21"/>
              </w:rPr>
              <w:t>.项目组人员：</w:t>
            </w:r>
            <w:r>
              <w:rPr>
                <w:rFonts w:hint="eastAsia"/>
                <w:szCs w:val="21"/>
              </w:rPr>
              <w:t>具有生态环境损害鉴定评估合格证书</w:t>
            </w:r>
            <w:r>
              <w:rPr>
                <w:rFonts w:hint="eastAsia"/>
                <w:szCs w:val="21"/>
                <w:lang w:val="en-US" w:eastAsia="zh-CN"/>
              </w:rPr>
              <w:t>或司法鉴定证书的</w:t>
            </w:r>
            <w:r>
              <w:rPr>
                <w:szCs w:val="21"/>
              </w:rPr>
              <w:t>，每</w:t>
            </w:r>
            <w:r>
              <w:rPr>
                <w:rFonts w:hint="eastAsia"/>
                <w:szCs w:val="21"/>
              </w:rPr>
              <w:t>人</w:t>
            </w:r>
            <w:r>
              <w:rPr>
                <w:szCs w:val="21"/>
              </w:rPr>
              <w:t>得</w:t>
            </w:r>
            <w:r>
              <w:rPr>
                <w:rFonts w:hint="eastAsia"/>
                <w:szCs w:val="21"/>
              </w:rPr>
              <w:t>2</w:t>
            </w:r>
            <w:r>
              <w:rPr>
                <w:szCs w:val="21"/>
              </w:rPr>
              <w:t>分，最高得</w:t>
            </w:r>
            <w:r>
              <w:rPr>
                <w:rFonts w:hint="eastAsia"/>
                <w:szCs w:val="21"/>
              </w:rPr>
              <w:t>8</w:t>
            </w:r>
            <w:r>
              <w:rPr>
                <w:szCs w:val="21"/>
              </w:rPr>
              <w:t>分。</w:t>
            </w:r>
          </w:p>
          <w:p w14:paraId="1C76C4DC">
            <w:pPr>
              <w:widowControl/>
              <w:adjustRightInd w:val="0"/>
              <w:snapToGrid w:val="0"/>
              <w:spacing w:line="360" w:lineRule="exact"/>
              <w:rPr>
                <w:color w:val="000000"/>
                <w:szCs w:val="21"/>
              </w:rPr>
            </w:pPr>
            <w:r>
              <w:rPr>
                <w:color w:val="000000"/>
                <w:szCs w:val="21"/>
              </w:rPr>
              <w:t>（提供项目组成员名单、社会保障部门出具的最近一个月在本单位缴纳社保缴费证明，及其他证书等相关证明材料）。</w:t>
            </w:r>
          </w:p>
        </w:tc>
      </w:tr>
      <w:tr w14:paraId="1298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76" w:type="dxa"/>
            <w:tcBorders>
              <w:left w:val="single" w:color="auto" w:sz="4" w:space="0"/>
              <w:right w:val="single" w:color="auto" w:sz="4" w:space="0"/>
            </w:tcBorders>
            <w:noWrap w:val="0"/>
            <w:vAlign w:val="center"/>
          </w:tcPr>
          <w:p w14:paraId="03F30048">
            <w:pPr>
              <w:autoSpaceDE w:val="0"/>
              <w:autoSpaceDN w:val="0"/>
              <w:adjustRightInd w:val="0"/>
              <w:spacing w:line="360" w:lineRule="exact"/>
              <w:jc w:val="center"/>
              <w:rPr>
                <w:color w:val="000000"/>
                <w:szCs w:val="21"/>
              </w:rPr>
            </w:pPr>
            <w:r>
              <w:rPr>
                <w:rFonts w:hint="eastAsia"/>
                <w:color w:val="000000"/>
                <w:szCs w:val="21"/>
              </w:rPr>
              <w:t>科研能力</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22718A6">
            <w:pPr>
              <w:autoSpaceDE w:val="0"/>
              <w:autoSpaceDN w:val="0"/>
              <w:adjustRightInd w:val="0"/>
              <w:spacing w:line="360" w:lineRule="exact"/>
              <w:jc w:val="center"/>
              <w:rPr>
                <w:color w:val="000000"/>
                <w:szCs w:val="21"/>
              </w:rPr>
            </w:pPr>
            <w:r>
              <w:rPr>
                <w:rFonts w:hint="eastAsia"/>
                <w:color w:val="000000"/>
                <w:szCs w:val="21"/>
              </w:rPr>
              <w:t>10</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46E10DC0">
            <w:pPr>
              <w:adjustRightInd w:val="0"/>
              <w:snapToGrid w:val="0"/>
              <w:spacing w:line="360" w:lineRule="exact"/>
              <w:rPr>
                <w:color w:val="000000"/>
                <w:szCs w:val="21"/>
              </w:rPr>
            </w:pPr>
            <w:r>
              <w:rPr>
                <w:szCs w:val="21"/>
              </w:rPr>
              <w:t>供应商近</w:t>
            </w:r>
            <w:r>
              <w:rPr>
                <w:rFonts w:hint="eastAsia"/>
                <w:szCs w:val="21"/>
              </w:rPr>
              <w:t>3</w:t>
            </w:r>
            <w:r>
              <w:rPr>
                <w:szCs w:val="21"/>
              </w:rPr>
              <w:t>年（202</w:t>
            </w:r>
            <w:r>
              <w:rPr>
                <w:rFonts w:hint="eastAsia"/>
                <w:szCs w:val="21"/>
                <w:lang w:val="en-US" w:eastAsia="zh-CN"/>
              </w:rPr>
              <w:t>2</w:t>
            </w:r>
            <w:r>
              <w:rPr>
                <w:szCs w:val="21"/>
              </w:rPr>
              <w:t>年1月1日至今</w:t>
            </w:r>
            <w:r>
              <w:rPr>
                <w:rFonts w:hint="eastAsia"/>
                <w:szCs w:val="21"/>
              </w:rPr>
              <w:t>，时间以合同签订时间为准</w:t>
            </w:r>
            <w:r>
              <w:rPr>
                <w:szCs w:val="21"/>
              </w:rPr>
              <w:t>）承担</w:t>
            </w:r>
            <w:r>
              <w:rPr>
                <w:rFonts w:hint="eastAsia"/>
                <w:szCs w:val="21"/>
                <w:lang w:val="en-US" w:eastAsia="zh-CN"/>
              </w:rPr>
              <w:t>省级以上</w:t>
            </w:r>
            <w:r>
              <w:rPr>
                <w:rFonts w:hint="eastAsia"/>
                <w:szCs w:val="21"/>
              </w:rPr>
              <w:t>与生态环境损害鉴定评估与赔偿工作相关</w:t>
            </w:r>
            <w:r>
              <w:rPr>
                <w:szCs w:val="21"/>
              </w:rPr>
              <w:t>科研项目的一个得</w:t>
            </w:r>
            <w:r>
              <w:rPr>
                <w:rFonts w:hint="eastAsia"/>
                <w:szCs w:val="21"/>
                <w:lang w:val="en-US" w:eastAsia="zh-CN"/>
              </w:rPr>
              <w:t>5</w:t>
            </w:r>
            <w:r>
              <w:rPr>
                <w:szCs w:val="21"/>
              </w:rPr>
              <w:t>分，</w:t>
            </w:r>
            <w:r>
              <w:rPr>
                <w:rFonts w:hint="eastAsia"/>
                <w:szCs w:val="21"/>
              </w:rPr>
              <w:t>市级以上</w:t>
            </w:r>
            <w:r>
              <w:rPr>
                <w:rFonts w:hint="eastAsia"/>
                <w:szCs w:val="21"/>
                <w:lang w:val="en-US" w:eastAsia="zh-CN"/>
              </w:rPr>
              <w:t>的一个得3分，</w:t>
            </w:r>
            <w:r>
              <w:rPr>
                <w:szCs w:val="21"/>
              </w:rPr>
              <w:t>最高得10分。（科研项目必须提供项目合同、任务书或中标通知书的复印件）</w:t>
            </w:r>
          </w:p>
        </w:tc>
      </w:tr>
      <w:tr w14:paraId="2E0A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76" w:type="dxa"/>
            <w:vMerge w:val="restart"/>
            <w:tcBorders>
              <w:left w:val="single" w:color="auto" w:sz="4" w:space="0"/>
              <w:right w:val="single" w:color="auto" w:sz="4" w:space="0"/>
            </w:tcBorders>
            <w:noWrap w:val="0"/>
            <w:vAlign w:val="center"/>
          </w:tcPr>
          <w:p w14:paraId="6E98937C">
            <w:pPr>
              <w:autoSpaceDE w:val="0"/>
              <w:autoSpaceDN w:val="0"/>
              <w:adjustRightInd w:val="0"/>
              <w:spacing w:line="360" w:lineRule="exact"/>
              <w:jc w:val="center"/>
              <w:rPr>
                <w:rFonts w:hint="eastAsia"/>
                <w:color w:val="000000"/>
                <w:sz w:val="24"/>
              </w:rPr>
            </w:pPr>
            <w:r>
              <w:rPr>
                <w:color w:val="000000"/>
                <w:szCs w:val="21"/>
              </w:rPr>
              <w:t>业绩</w:t>
            </w:r>
            <w:r>
              <w:rPr>
                <w:rFonts w:hint="eastAsia"/>
                <w:color w:val="000000"/>
                <w:szCs w:val="21"/>
              </w:rPr>
              <w:t>能力</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CA54224">
            <w:pPr>
              <w:autoSpaceDE w:val="0"/>
              <w:autoSpaceDN w:val="0"/>
              <w:adjustRightInd w:val="0"/>
              <w:spacing w:line="360" w:lineRule="exact"/>
              <w:jc w:val="center"/>
              <w:rPr>
                <w:color w:val="000000"/>
                <w:szCs w:val="21"/>
              </w:rPr>
            </w:pPr>
            <w:r>
              <w:rPr>
                <w:rFonts w:hint="eastAsia"/>
                <w:color w:val="000000"/>
                <w:szCs w:val="21"/>
              </w:rPr>
              <w:t>20</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5E2CBEFC">
            <w:pPr>
              <w:adjustRightInd w:val="0"/>
              <w:snapToGrid w:val="0"/>
              <w:spacing w:line="360" w:lineRule="exact"/>
              <w:rPr>
                <w:color w:val="000000"/>
                <w:szCs w:val="21"/>
              </w:rPr>
            </w:pPr>
            <w:r>
              <w:rPr>
                <w:color w:val="000000"/>
                <w:szCs w:val="21"/>
              </w:rPr>
              <w:t>供应商</w:t>
            </w:r>
            <w:r>
              <w:rPr>
                <w:rFonts w:hint="eastAsia"/>
                <w:color w:val="000000"/>
                <w:szCs w:val="21"/>
                <w:lang w:val="en-US" w:eastAsia="zh-CN"/>
              </w:rPr>
              <w:t>近3年</w:t>
            </w:r>
            <w:r>
              <w:rPr>
                <w:szCs w:val="21"/>
              </w:rPr>
              <w:t>（202</w:t>
            </w:r>
            <w:r>
              <w:rPr>
                <w:rFonts w:hint="eastAsia"/>
                <w:szCs w:val="21"/>
                <w:lang w:val="en-US" w:eastAsia="zh-CN"/>
              </w:rPr>
              <w:t>2</w:t>
            </w:r>
            <w:r>
              <w:rPr>
                <w:szCs w:val="21"/>
              </w:rPr>
              <w:t>年1月1日至今</w:t>
            </w:r>
            <w:r>
              <w:rPr>
                <w:rFonts w:hint="eastAsia"/>
                <w:szCs w:val="21"/>
              </w:rPr>
              <w:t>，时间以合同签订时间为准</w:t>
            </w:r>
            <w:r>
              <w:rPr>
                <w:szCs w:val="21"/>
              </w:rPr>
              <w:t>）</w:t>
            </w:r>
            <w:r>
              <w:rPr>
                <w:rFonts w:hint="eastAsia"/>
                <w:color w:val="000000"/>
                <w:szCs w:val="21"/>
                <w:lang w:val="en-US" w:eastAsia="zh-CN"/>
              </w:rPr>
              <w:t>承担</w:t>
            </w:r>
            <w:r>
              <w:rPr>
                <w:color w:val="000000"/>
                <w:szCs w:val="21"/>
              </w:rPr>
              <w:t>生态环境损害赔偿工作技术支撑的，其中为省级生态环境</w:t>
            </w:r>
            <w:r>
              <w:rPr>
                <w:rFonts w:hint="eastAsia"/>
                <w:color w:val="000000"/>
                <w:szCs w:val="21"/>
                <w:lang w:val="en-US" w:eastAsia="zh-CN"/>
              </w:rPr>
              <w:t>管理</w:t>
            </w:r>
            <w:r>
              <w:rPr>
                <w:color w:val="000000"/>
                <w:szCs w:val="21"/>
              </w:rPr>
              <w:t>部门提供生态环境损害赔偿工作技术支撑的，</w:t>
            </w:r>
            <w:r>
              <w:rPr>
                <w:rFonts w:hint="eastAsia"/>
                <w:color w:val="000000"/>
                <w:szCs w:val="21"/>
              </w:rPr>
              <w:t>每项</w:t>
            </w:r>
            <w:r>
              <w:rPr>
                <w:color w:val="000000"/>
                <w:szCs w:val="21"/>
              </w:rPr>
              <w:t>得</w:t>
            </w:r>
            <w:r>
              <w:rPr>
                <w:rFonts w:hint="eastAsia"/>
                <w:color w:val="000000"/>
                <w:szCs w:val="21"/>
              </w:rPr>
              <w:t>5</w:t>
            </w:r>
            <w:r>
              <w:rPr>
                <w:color w:val="000000"/>
                <w:szCs w:val="21"/>
              </w:rPr>
              <w:t>分；为市级生态环境</w:t>
            </w:r>
            <w:r>
              <w:rPr>
                <w:rFonts w:hint="eastAsia"/>
                <w:color w:val="000000"/>
                <w:szCs w:val="21"/>
                <w:lang w:val="en-US" w:eastAsia="zh-CN"/>
              </w:rPr>
              <w:t>管理</w:t>
            </w:r>
            <w:r>
              <w:rPr>
                <w:color w:val="000000"/>
                <w:szCs w:val="21"/>
              </w:rPr>
              <w:t>部门提供生态环境损害赔偿工作技术支撑的，</w:t>
            </w:r>
            <w:r>
              <w:rPr>
                <w:rFonts w:hint="eastAsia"/>
                <w:color w:val="000000"/>
                <w:szCs w:val="21"/>
              </w:rPr>
              <w:t>每项</w:t>
            </w:r>
            <w:r>
              <w:rPr>
                <w:color w:val="000000"/>
                <w:szCs w:val="21"/>
              </w:rPr>
              <w:t>得</w:t>
            </w:r>
            <w:r>
              <w:rPr>
                <w:rFonts w:hint="eastAsia"/>
                <w:color w:val="000000"/>
                <w:szCs w:val="21"/>
              </w:rPr>
              <w:t>2</w:t>
            </w:r>
            <w:r>
              <w:rPr>
                <w:color w:val="000000"/>
                <w:szCs w:val="21"/>
              </w:rPr>
              <w:t>分。此项最高得</w:t>
            </w:r>
            <w:r>
              <w:rPr>
                <w:rFonts w:hint="eastAsia"/>
                <w:color w:val="000000"/>
                <w:szCs w:val="21"/>
              </w:rPr>
              <w:t>20</w:t>
            </w:r>
            <w:r>
              <w:rPr>
                <w:color w:val="000000"/>
                <w:szCs w:val="21"/>
              </w:rPr>
              <w:t>分，需提供证明材料。</w:t>
            </w:r>
          </w:p>
        </w:tc>
      </w:tr>
      <w:tr w14:paraId="10D3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76" w:type="dxa"/>
            <w:vMerge w:val="continue"/>
            <w:tcBorders>
              <w:left w:val="single" w:color="auto" w:sz="4" w:space="0"/>
              <w:right w:val="single" w:color="auto" w:sz="4" w:space="0"/>
            </w:tcBorders>
            <w:noWrap w:val="0"/>
            <w:vAlign w:val="center"/>
          </w:tcPr>
          <w:p w14:paraId="155577E1">
            <w:pPr>
              <w:autoSpaceDE w:val="0"/>
              <w:autoSpaceDN w:val="0"/>
              <w:adjustRightInd w:val="0"/>
              <w:spacing w:line="360" w:lineRule="exact"/>
              <w:jc w:val="center"/>
              <w:rPr>
                <w:color w:val="00000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42E6D393">
            <w:pPr>
              <w:autoSpaceDE w:val="0"/>
              <w:autoSpaceDN w:val="0"/>
              <w:adjustRightInd w:val="0"/>
              <w:spacing w:line="360" w:lineRule="exact"/>
              <w:jc w:val="center"/>
              <w:rPr>
                <w:rFonts w:hint="eastAsia" w:eastAsia="宋体"/>
                <w:color w:val="000000"/>
                <w:szCs w:val="21"/>
                <w:lang w:eastAsia="zh-CN"/>
              </w:rPr>
            </w:pPr>
            <w:r>
              <w:rPr>
                <w:rFonts w:hint="eastAsia"/>
                <w:color w:val="000000"/>
                <w:szCs w:val="21"/>
              </w:rPr>
              <w:t>1</w:t>
            </w:r>
            <w:r>
              <w:rPr>
                <w:rFonts w:hint="eastAsia"/>
                <w:color w:val="000000"/>
                <w:szCs w:val="21"/>
                <w:lang w:val="en-US" w:eastAsia="zh-CN"/>
              </w:rPr>
              <w:t>0</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7E919B4D">
            <w:pPr>
              <w:adjustRightInd w:val="0"/>
              <w:snapToGrid w:val="0"/>
              <w:spacing w:line="360" w:lineRule="exact"/>
              <w:rPr>
                <w:color w:val="000000"/>
                <w:szCs w:val="21"/>
              </w:rPr>
            </w:pPr>
            <w:r>
              <w:rPr>
                <w:rFonts w:hint="eastAsia"/>
                <w:szCs w:val="21"/>
                <w:lang w:val="en-US" w:eastAsia="zh-CN"/>
              </w:rPr>
              <w:t>项目组成成员</w:t>
            </w:r>
            <w:r>
              <w:rPr>
                <w:szCs w:val="21"/>
              </w:rPr>
              <w:t>近3年（202</w:t>
            </w:r>
            <w:r>
              <w:rPr>
                <w:rFonts w:hint="eastAsia"/>
                <w:szCs w:val="21"/>
                <w:lang w:val="en-US" w:eastAsia="zh-CN"/>
              </w:rPr>
              <w:t>2</w:t>
            </w:r>
            <w:r>
              <w:rPr>
                <w:szCs w:val="21"/>
              </w:rPr>
              <w:t>年1月1日至今</w:t>
            </w:r>
            <w:r>
              <w:rPr>
                <w:rFonts w:hint="eastAsia"/>
                <w:szCs w:val="21"/>
              </w:rPr>
              <w:t>，时间以合同签订时间为准</w:t>
            </w:r>
            <w:r>
              <w:rPr>
                <w:szCs w:val="21"/>
              </w:rPr>
              <w:t>）承担过生态环境损害赔偿鉴定评估项目类似业绩的，</w:t>
            </w:r>
            <w:r>
              <w:rPr>
                <w:rFonts w:hint="eastAsia"/>
                <w:szCs w:val="21"/>
                <w:lang w:val="en-US" w:eastAsia="zh-CN"/>
              </w:rPr>
              <w:t>每</w:t>
            </w:r>
            <w:r>
              <w:rPr>
                <w:szCs w:val="21"/>
              </w:rPr>
              <w:t>项得</w:t>
            </w:r>
            <w:r>
              <w:rPr>
                <w:rFonts w:hint="eastAsia"/>
                <w:szCs w:val="21"/>
                <w:lang w:val="en-US" w:eastAsia="zh-CN"/>
              </w:rPr>
              <w:t>2</w:t>
            </w:r>
            <w:r>
              <w:rPr>
                <w:szCs w:val="21"/>
              </w:rPr>
              <w:t>分</w:t>
            </w:r>
            <w:r>
              <w:rPr>
                <w:rFonts w:hint="eastAsia"/>
                <w:szCs w:val="21"/>
                <w:lang w:eastAsia="zh-CN"/>
              </w:rPr>
              <w:t>。此项最高得</w:t>
            </w:r>
            <w:r>
              <w:rPr>
                <w:rFonts w:hint="eastAsia"/>
                <w:szCs w:val="21"/>
                <w:lang w:val="en-US" w:eastAsia="zh-CN"/>
              </w:rPr>
              <w:t>10</w:t>
            </w:r>
            <w:r>
              <w:rPr>
                <w:rFonts w:hint="eastAsia"/>
                <w:szCs w:val="21"/>
                <w:lang w:eastAsia="zh-CN"/>
              </w:rPr>
              <w:t>分，</w:t>
            </w:r>
            <w:r>
              <w:rPr>
                <w:szCs w:val="21"/>
              </w:rPr>
              <w:t>提供项目合同复印件。</w:t>
            </w:r>
          </w:p>
          <w:p w14:paraId="7882C37D">
            <w:pPr>
              <w:adjustRightInd w:val="0"/>
              <w:snapToGrid w:val="0"/>
              <w:spacing w:line="360" w:lineRule="exact"/>
              <w:rPr>
                <w:color w:val="000000"/>
                <w:szCs w:val="21"/>
              </w:rPr>
            </w:pPr>
            <w:r>
              <w:rPr>
                <w:color w:val="000000"/>
                <w:szCs w:val="21"/>
              </w:rPr>
              <w:t>（提供项目加盖公章的合同复印件，业绩为项目组成员业绩的证明材料）</w:t>
            </w:r>
          </w:p>
        </w:tc>
      </w:tr>
      <w:tr w14:paraId="2F99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276" w:type="dxa"/>
            <w:tcBorders>
              <w:left w:val="single" w:color="auto" w:sz="4" w:space="0"/>
              <w:right w:val="single" w:color="auto" w:sz="4" w:space="0"/>
            </w:tcBorders>
            <w:noWrap w:val="0"/>
            <w:vAlign w:val="center"/>
          </w:tcPr>
          <w:p w14:paraId="74F339B4">
            <w:pPr>
              <w:autoSpaceDE w:val="0"/>
              <w:autoSpaceDN w:val="0"/>
              <w:adjustRightInd w:val="0"/>
              <w:spacing w:line="360" w:lineRule="exact"/>
              <w:jc w:val="center"/>
              <w:rPr>
                <w:color w:val="000000"/>
                <w:szCs w:val="21"/>
              </w:rPr>
            </w:pPr>
            <w:r>
              <w:rPr>
                <w:color w:val="000000"/>
                <w:szCs w:val="21"/>
              </w:rPr>
              <w:t>实施方案</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6AEA6FA">
            <w:pPr>
              <w:autoSpaceDE w:val="0"/>
              <w:autoSpaceDN w:val="0"/>
              <w:adjustRightInd w:val="0"/>
              <w:spacing w:line="360" w:lineRule="exact"/>
              <w:jc w:val="center"/>
              <w:rPr>
                <w:rFonts w:hint="default"/>
                <w:color w:val="000000"/>
                <w:szCs w:val="21"/>
                <w:lang w:val="en-US"/>
              </w:rPr>
            </w:pPr>
            <w:r>
              <w:rPr>
                <w:rFonts w:hint="eastAsia"/>
                <w:color w:val="000000"/>
                <w:szCs w:val="21"/>
                <w:lang w:val="en-US" w:eastAsia="zh-CN"/>
              </w:rPr>
              <w:t>30</w:t>
            </w:r>
          </w:p>
        </w:tc>
        <w:tc>
          <w:tcPr>
            <w:tcW w:w="7263" w:type="dxa"/>
            <w:tcBorders>
              <w:top w:val="single" w:color="auto" w:sz="4" w:space="0"/>
              <w:left w:val="single" w:color="auto" w:sz="4" w:space="0"/>
              <w:bottom w:val="single" w:color="auto" w:sz="4" w:space="0"/>
              <w:right w:val="single" w:color="auto" w:sz="4" w:space="0"/>
            </w:tcBorders>
            <w:noWrap w:val="0"/>
            <w:vAlign w:val="center"/>
          </w:tcPr>
          <w:p w14:paraId="57454787">
            <w:pPr>
              <w:widowControl/>
              <w:adjustRightInd w:val="0"/>
              <w:snapToGrid w:val="0"/>
              <w:spacing w:line="360" w:lineRule="exact"/>
              <w:rPr>
                <w:color w:val="000000"/>
                <w:lang w:val="zh-CN"/>
              </w:rPr>
            </w:pPr>
            <w:r>
              <w:rPr>
                <w:color w:val="000000"/>
                <w:szCs w:val="21"/>
              </w:rPr>
              <w:t>供应商需根据本项目服务需求提供具体实施方案，包含总体方案规定的目标，对生态环境损害赔偿制度的要求。根据方案的思路合理性、可行性，政策要求的理解把握等进行综合评分，优秀的得</w:t>
            </w:r>
            <w:r>
              <w:rPr>
                <w:rFonts w:hint="eastAsia"/>
                <w:color w:val="000000"/>
                <w:szCs w:val="21"/>
                <w:lang w:val="en-US" w:eastAsia="zh-CN"/>
              </w:rPr>
              <w:t>25</w:t>
            </w:r>
            <w:r>
              <w:rPr>
                <w:color w:val="000000"/>
                <w:szCs w:val="21"/>
              </w:rPr>
              <w:t>-</w:t>
            </w:r>
            <w:r>
              <w:rPr>
                <w:rFonts w:hint="eastAsia"/>
                <w:color w:val="000000"/>
                <w:szCs w:val="21"/>
                <w:lang w:val="en-US" w:eastAsia="zh-CN"/>
              </w:rPr>
              <w:t>30</w:t>
            </w:r>
            <w:r>
              <w:rPr>
                <w:color w:val="000000"/>
                <w:szCs w:val="21"/>
              </w:rPr>
              <w:t>分；较好的得</w:t>
            </w:r>
            <w:r>
              <w:rPr>
                <w:rFonts w:hint="eastAsia"/>
                <w:color w:val="000000"/>
                <w:szCs w:val="21"/>
                <w:lang w:val="en-US" w:eastAsia="zh-CN"/>
              </w:rPr>
              <w:t>20</w:t>
            </w:r>
            <w:r>
              <w:rPr>
                <w:color w:val="000000"/>
                <w:szCs w:val="21"/>
              </w:rPr>
              <w:t>-</w:t>
            </w:r>
            <w:r>
              <w:rPr>
                <w:rFonts w:hint="eastAsia"/>
                <w:color w:val="000000"/>
                <w:szCs w:val="21"/>
                <w:lang w:val="en-US" w:eastAsia="zh-CN"/>
              </w:rPr>
              <w:t>25</w:t>
            </w:r>
            <w:r>
              <w:rPr>
                <w:color w:val="000000"/>
                <w:szCs w:val="21"/>
              </w:rPr>
              <w:t>分；一般的得</w:t>
            </w:r>
            <w:r>
              <w:rPr>
                <w:rFonts w:hint="eastAsia"/>
                <w:color w:val="000000"/>
                <w:szCs w:val="21"/>
                <w:lang w:val="en-US" w:eastAsia="zh-CN"/>
              </w:rPr>
              <w:t>15</w:t>
            </w:r>
            <w:r>
              <w:rPr>
                <w:color w:val="000000"/>
                <w:szCs w:val="21"/>
              </w:rPr>
              <w:t>-</w:t>
            </w:r>
            <w:r>
              <w:rPr>
                <w:rFonts w:hint="eastAsia"/>
                <w:color w:val="000000"/>
                <w:szCs w:val="21"/>
                <w:lang w:val="en-US" w:eastAsia="zh-CN"/>
              </w:rPr>
              <w:t>20</w:t>
            </w:r>
            <w:r>
              <w:rPr>
                <w:color w:val="000000"/>
                <w:szCs w:val="21"/>
              </w:rPr>
              <w:t>分；较差的得5-10分；不符合政策要求或未提供的不得分。</w:t>
            </w:r>
          </w:p>
        </w:tc>
      </w:tr>
    </w:tbl>
    <w:p w14:paraId="55CB0ADA">
      <w:pPr>
        <w:snapToGrid w:val="0"/>
        <w:spacing w:line="360" w:lineRule="auto"/>
        <w:ind w:firstLine="440" w:firstLineChars="200"/>
        <w:jc w:val="left"/>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注：评标办法中涉及人员证书、业绩合同等证明材料，如为复印件均须加盖供应商公章，否则该项不得分。上述涉及可政府或行业协会官网查询的供应商或人员资质资格等相关证书以及相关证明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p>
    <w:p w14:paraId="485307B0">
      <w:pPr>
        <w:pStyle w:val="10"/>
        <w:snapToGrid w:val="0"/>
        <w:spacing w:line="360" w:lineRule="auto"/>
        <w:ind w:firstLine="482" w:firstLineChars="200"/>
        <w:contextualSpacing/>
        <w:jc w:val="left"/>
        <w:rPr>
          <w:rFonts w:hint="eastAsia" w:ascii="Times New Roman" w:hAnsi="Times New Roman" w:eastAsia="宋体" w:cs="Times New Roman"/>
          <w:b/>
          <w:bCs/>
          <w:color w:val="000000"/>
          <w:kern w:val="2"/>
          <w:sz w:val="24"/>
          <w:szCs w:val="24"/>
        </w:rPr>
      </w:pPr>
      <w:r>
        <w:rPr>
          <w:rFonts w:hint="eastAsia" w:ascii="Times New Roman" w:hAnsi="Times New Roman" w:eastAsia="宋体" w:cs="Times New Roman"/>
          <w:b/>
          <w:bCs/>
          <w:color w:val="000000"/>
          <w:kern w:val="2"/>
          <w:sz w:val="24"/>
          <w:szCs w:val="24"/>
        </w:rPr>
        <w:t>（二）价格分：10分</w:t>
      </w:r>
    </w:p>
    <w:p w14:paraId="73657DD7">
      <w:pPr>
        <w:snapToGrid w:val="0"/>
        <w:spacing w:line="360" w:lineRule="auto"/>
        <w:ind w:firstLine="480"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综合评分法中的价格分统一采用</w:t>
      </w:r>
      <w:r>
        <w:rPr>
          <w:rFonts w:hint="eastAsia" w:ascii="Times New Roman" w:hAnsi="Times New Roman" w:eastAsia="宋体" w:cs="Times New Roman"/>
          <w:b/>
          <w:bCs/>
          <w:sz w:val="24"/>
        </w:rPr>
        <w:t>低价优先法</w:t>
      </w:r>
      <w:r>
        <w:rPr>
          <w:rFonts w:hint="eastAsia" w:ascii="Times New Roman" w:hAnsi="Times New Roman" w:eastAsia="宋体" w:cs="Times New Roman"/>
          <w:sz w:val="24"/>
        </w:rPr>
        <w:t>计算，即满足磋商文件要求且最后报价最低的供应商的价格为磋商基准价，其价格分为满分。其他供应商的价格分统一按照下列公式计算：</w:t>
      </w:r>
    </w:p>
    <w:p w14:paraId="7888D148">
      <w:pPr>
        <w:snapToGrid w:val="0"/>
        <w:spacing w:line="360" w:lineRule="auto"/>
        <w:ind w:firstLine="482" w:firstLineChars="200"/>
        <w:jc w:val="left"/>
        <w:rPr>
          <w:rFonts w:hint="eastAsia" w:ascii="Times New Roman" w:hAnsi="Times New Roman" w:eastAsia="宋体" w:cs="Times New Roman"/>
          <w:b/>
          <w:bCs/>
          <w:sz w:val="24"/>
        </w:rPr>
      </w:pPr>
      <w:r>
        <w:rPr>
          <w:rFonts w:hint="eastAsia" w:ascii="Times New Roman" w:hAnsi="Times New Roman" w:eastAsia="宋体" w:cs="Times New Roman"/>
          <w:b/>
          <w:bCs/>
          <w:sz w:val="24"/>
        </w:rPr>
        <w:t>磋商报价得分=（磋商基准价/最后磋商报价）×10%×100</w:t>
      </w:r>
    </w:p>
    <w:p w14:paraId="170C8F8B">
      <w:pPr>
        <w:snapToGrid w:val="0"/>
        <w:spacing w:line="360" w:lineRule="auto"/>
        <w:ind w:firstLine="480" w:firstLineChars="200"/>
        <w:jc w:val="left"/>
        <w:rPr>
          <w:rFonts w:hint="eastAsia" w:ascii="Times New Roman" w:hAnsi="Times New Roman" w:eastAsia="宋体" w:cs="Times New Roman"/>
          <w:sz w:val="24"/>
        </w:rPr>
      </w:pPr>
      <w:r>
        <w:rPr>
          <w:rFonts w:hint="eastAsia" w:ascii="Times New Roman" w:hAnsi="Times New Roman" w:eastAsia="宋体" w:cs="Times New Roman"/>
          <w:sz w:val="24"/>
        </w:rPr>
        <w:t>项目评审过程中，不得去掉最后报价中的最高报价和最低报价。</w:t>
      </w:r>
    </w:p>
    <w:p w14:paraId="28A24C25">
      <w:pPr>
        <w:snapToGrid w:val="0"/>
        <w:spacing w:line="360" w:lineRule="auto"/>
        <w:ind w:firstLine="482" w:firstLineChars="200"/>
        <w:jc w:val="left"/>
        <w:rPr>
          <w:rFonts w:hint="eastAsia" w:ascii="Times New Roman" w:hAnsi="Times New Roman" w:eastAsia="宋体" w:cs="Times New Roman"/>
          <w:b/>
          <w:bCs/>
          <w:sz w:val="24"/>
        </w:rPr>
      </w:pPr>
      <w:r>
        <w:rPr>
          <w:rFonts w:hint="eastAsia" w:ascii="Times New Roman" w:hAnsi="Times New Roman" w:eastAsia="宋体" w:cs="Times New Roman"/>
          <w:b/>
          <w:bCs/>
          <w:sz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84E5C30">
      <w:pPr>
        <w:snapToGrid w:val="0"/>
        <w:spacing w:line="360" w:lineRule="auto"/>
        <w:ind w:firstLine="482" w:firstLineChars="200"/>
        <w:jc w:val="left"/>
        <w:rPr>
          <w:b/>
          <w:bCs/>
          <w:sz w:val="24"/>
        </w:rPr>
      </w:pPr>
      <w:r>
        <w:rPr>
          <w:b/>
          <w:bCs/>
          <w:sz w:val="24"/>
        </w:rPr>
        <w:t>六、政府采购政策功能落实</w:t>
      </w:r>
    </w:p>
    <w:p w14:paraId="0EBA5CE6">
      <w:pPr>
        <w:snapToGrid w:val="0"/>
        <w:spacing w:line="360" w:lineRule="auto"/>
        <w:ind w:firstLine="480" w:firstLineChars="200"/>
        <w:jc w:val="left"/>
        <w:rPr>
          <w:sz w:val="24"/>
        </w:rPr>
      </w:pPr>
      <w:r>
        <w:rPr>
          <w:sz w:val="24"/>
        </w:rPr>
        <w:t>1、小微型企业价格扣除</w:t>
      </w:r>
    </w:p>
    <w:p w14:paraId="09529E72">
      <w:pPr>
        <w:snapToGrid w:val="0"/>
        <w:spacing w:line="360" w:lineRule="auto"/>
        <w:ind w:firstLine="480" w:firstLineChars="200"/>
        <w:jc w:val="left"/>
        <w:rPr>
          <w:sz w:val="24"/>
        </w:rPr>
      </w:pPr>
      <w:r>
        <w:rPr>
          <w:sz w:val="24"/>
        </w:rPr>
        <w:t>（1）本项目对小型和微型企业产品给予10%的扣除价格，用扣除后的价格参与评审。</w:t>
      </w:r>
    </w:p>
    <w:p w14:paraId="035948D2">
      <w:pPr>
        <w:snapToGrid w:val="0"/>
        <w:spacing w:line="360" w:lineRule="auto"/>
        <w:ind w:firstLine="480" w:firstLineChars="200"/>
        <w:jc w:val="left"/>
        <w:rPr>
          <w:sz w:val="24"/>
        </w:rPr>
      </w:pPr>
      <w:r>
        <w:rPr>
          <w:sz w:val="24"/>
        </w:rPr>
        <w:t>（2）供应商需按照采购文件的要求提供相应的《中小企业声明函》，根据企业情况予以扣除价格。</w:t>
      </w:r>
    </w:p>
    <w:p w14:paraId="34EBC735">
      <w:pPr>
        <w:snapToGrid w:val="0"/>
        <w:spacing w:line="360" w:lineRule="auto"/>
        <w:ind w:firstLine="480" w:firstLineChars="200"/>
        <w:jc w:val="left"/>
        <w:rPr>
          <w:sz w:val="24"/>
        </w:rPr>
      </w:pPr>
      <w:r>
        <w:rPr>
          <w:sz w:val="24"/>
        </w:rPr>
        <w:t>（3）企业标准请参照《关于印发中小企业划型标准规定的通知》（工信部联企业[2011]300号）文件规定自行填写。</w:t>
      </w:r>
    </w:p>
    <w:p w14:paraId="17948712">
      <w:pPr>
        <w:snapToGrid w:val="0"/>
        <w:spacing w:line="360" w:lineRule="auto"/>
        <w:ind w:firstLine="480" w:firstLineChars="200"/>
        <w:jc w:val="left"/>
        <w:rPr>
          <w:sz w:val="24"/>
        </w:rPr>
      </w:pPr>
      <w:r>
        <w:rPr>
          <w:sz w:val="24"/>
        </w:rPr>
        <w:t>2、残疾人福利单位价格扣除</w:t>
      </w:r>
    </w:p>
    <w:p w14:paraId="29B3B661">
      <w:pPr>
        <w:snapToGrid w:val="0"/>
        <w:spacing w:line="360" w:lineRule="auto"/>
        <w:ind w:firstLine="480" w:firstLineChars="200"/>
        <w:jc w:val="left"/>
        <w:rPr>
          <w:sz w:val="24"/>
        </w:rPr>
      </w:pPr>
      <w:r>
        <w:rPr>
          <w:sz w:val="24"/>
        </w:rPr>
        <w:t>（1）本项目对残疾人福利性单位视同小型、微型企业，给予</w:t>
      </w:r>
      <w:r>
        <w:rPr>
          <w:rFonts w:hint="eastAsia"/>
          <w:sz w:val="24"/>
          <w:lang w:val="en-US" w:eastAsia="zh-CN"/>
        </w:rPr>
        <w:t>10</w:t>
      </w:r>
      <w:r>
        <w:rPr>
          <w:sz w:val="24"/>
        </w:rPr>
        <w:t>%的价格扣除，用扣除后的价格参与评审。</w:t>
      </w:r>
    </w:p>
    <w:p w14:paraId="40DF18BD">
      <w:pPr>
        <w:snapToGrid w:val="0"/>
        <w:spacing w:line="360" w:lineRule="auto"/>
        <w:ind w:firstLine="480" w:firstLineChars="200"/>
        <w:jc w:val="left"/>
        <w:rPr>
          <w:sz w:val="24"/>
        </w:rPr>
      </w:pPr>
      <w:r>
        <w:rPr>
          <w:sz w:val="24"/>
        </w:rPr>
        <w:t>（2）残疾人福利单位需按照采购文件的要求提供《残疾人福利性单位声明函》。</w:t>
      </w:r>
    </w:p>
    <w:p w14:paraId="5FB46E5B">
      <w:pPr>
        <w:snapToGrid w:val="0"/>
        <w:spacing w:line="360" w:lineRule="auto"/>
        <w:ind w:firstLine="480" w:firstLineChars="200"/>
        <w:jc w:val="left"/>
        <w:rPr>
          <w:sz w:val="24"/>
        </w:rPr>
      </w:pPr>
      <w:r>
        <w:rPr>
          <w:sz w:val="24"/>
        </w:rPr>
        <w:t>（3）残疾人福利单位标准请参照《关于促进残疾人就业政府采购政策的通知》（财库〔2017〕141号）。</w:t>
      </w:r>
    </w:p>
    <w:p w14:paraId="36F56B3B">
      <w:pPr>
        <w:snapToGrid w:val="0"/>
        <w:spacing w:line="360" w:lineRule="auto"/>
        <w:ind w:firstLine="480" w:firstLineChars="200"/>
        <w:jc w:val="left"/>
        <w:rPr>
          <w:sz w:val="24"/>
        </w:rPr>
      </w:pPr>
      <w:r>
        <w:rPr>
          <w:sz w:val="24"/>
        </w:rPr>
        <w:t>3、监狱和戒毒企业价格扣除</w:t>
      </w:r>
    </w:p>
    <w:p w14:paraId="3A6DC293">
      <w:pPr>
        <w:snapToGrid w:val="0"/>
        <w:spacing w:line="360" w:lineRule="auto"/>
        <w:ind w:firstLine="480" w:firstLineChars="200"/>
        <w:jc w:val="left"/>
        <w:rPr>
          <w:sz w:val="24"/>
        </w:rPr>
      </w:pPr>
      <w:r>
        <w:rPr>
          <w:sz w:val="24"/>
        </w:rPr>
        <w:t>（1）本项目对监狱和戒毒企业（简称监狱企业）视同小型、微型企业，给予</w:t>
      </w:r>
      <w:r>
        <w:rPr>
          <w:rFonts w:hint="eastAsia"/>
          <w:sz w:val="24"/>
          <w:lang w:val="en-US" w:eastAsia="zh-CN"/>
        </w:rPr>
        <w:t>10</w:t>
      </w:r>
      <w:r>
        <w:rPr>
          <w:sz w:val="24"/>
        </w:rPr>
        <w:t>%的价格扣除，用扣除后的价格参与评审。</w:t>
      </w:r>
    </w:p>
    <w:p w14:paraId="570AD1A7">
      <w:pPr>
        <w:snapToGrid w:val="0"/>
        <w:spacing w:line="360" w:lineRule="auto"/>
        <w:ind w:firstLine="480" w:firstLineChars="200"/>
        <w:jc w:val="left"/>
        <w:rPr>
          <w:sz w:val="24"/>
        </w:rPr>
      </w:pPr>
      <w:r>
        <w:rPr>
          <w:sz w:val="24"/>
        </w:rPr>
        <w:t>（2）监狱企业参加政府采购活动时，需提供由省级以上监狱管理局、戒毒管理局(含新疆生产建设兵团)出具的属于监狱企业的证明文件。供应商如不提供上述证明文件，价格将不做相应扣除。</w:t>
      </w:r>
    </w:p>
    <w:p w14:paraId="78EEF76D">
      <w:pPr>
        <w:snapToGrid w:val="0"/>
        <w:spacing w:line="360" w:lineRule="auto"/>
        <w:ind w:firstLine="480" w:firstLineChars="200"/>
        <w:jc w:val="left"/>
        <w:rPr>
          <w:sz w:val="24"/>
        </w:rPr>
      </w:pPr>
      <w:r>
        <w:rPr>
          <w:sz w:val="24"/>
        </w:rPr>
        <w:t>（3）监狱企业标准请参照《关于政府采购支持监狱企业发展有关问题的通知》（财库[2014]68号）。</w:t>
      </w:r>
    </w:p>
    <w:p w14:paraId="034571A2">
      <w:pPr>
        <w:snapToGrid w:val="0"/>
        <w:spacing w:line="360" w:lineRule="auto"/>
        <w:ind w:firstLine="480" w:firstLineChars="200"/>
        <w:jc w:val="left"/>
        <w:rPr>
          <w:sz w:val="24"/>
        </w:rPr>
      </w:pPr>
      <w:r>
        <w:rPr>
          <w:sz w:val="24"/>
        </w:rPr>
        <w:t>4、残疾人福利单位、监狱企业属于小型、微型企业的，不重复享受政策。</w:t>
      </w:r>
    </w:p>
    <w:p w14:paraId="2989C041">
      <w:pPr>
        <w:snapToGrid w:val="0"/>
        <w:spacing w:line="360" w:lineRule="auto"/>
        <w:ind w:firstLine="480" w:firstLineChars="200"/>
        <w:jc w:val="left"/>
        <w:rPr>
          <w:sz w:val="24"/>
        </w:rPr>
      </w:pPr>
      <w:r>
        <w:rPr>
          <w:sz w:val="24"/>
        </w:rPr>
        <w:t>5、根据《江苏省政府采购信用管理暂行办法》的规定，对有失信行为的供应商将根据信用评价结果按规定予以扣分或价格加成。</w:t>
      </w:r>
    </w:p>
    <w:p w14:paraId="21E828B5">
      <w:pPr>
        <w:snapToGrid w:val="0"/>
        <w:spacing w:line="360" w:lineRule="auto"/>
        <w:ind w:firstLine="482" w:firstLineChars="200"/>
        <w:jc w:val="left"/>
        <w:rPr>
          <w:b/>
          <w:bCs/>
          <w:color w:val="000000"/>
          <w:sz w:val="24"/>
        </w:rPr>
      </w:pPr>
      <w:r>
        <w:rPr>
          <w:b/>
          <w:bCs/>
          <w:color w:val="000000"/>
          <w:sz w:val="24"/>
        </w:rPr>
        <w:t>七、出现下列情形之一的，竞争性磋商采购活动终止，发布项目终止公告并说明原因，重新开展采购活动：</w:t>
      </w:r>
    </w:p>
    <w:p w14:paraId="4BD369D1">
      <w:pPr>
        <w:snapToGrid w:val="0"/>
        <w:spacing w:line="360" w:lineRule="auto"/>
        <w:ind w:firstLine="480" w:firstLineChars="200"/>
        <w:jc w:val="left"/>
        <w:rPr>
          <w:color w:val="000000"/>
          <w:sz w:val="24"/>
        </w:rPr>
      </w:pPr>
      <w:r>
        <w:rPr>
          <w:color w:val="000000"/>
          <w:sz w:val="24"/>
        </w:rPr>
        <w:t>(一)因情况变化，不再符合规定的竞争性磋商采购方式适用情形的；</w:t>
      </w:r>
    </w:p>
    <w:p w14:paraId="2B90EF29">
      <w:pPr>
        <w:snapToGrid w:val="0"/>
        <w:spacing w:line="360" w:lineRule="auto"/>
        <w:ind w:firstLine="480" w:firstLineChars="200"/>
        <w:jc w:val="left"/>
        <w:rPr>
          <w:color w:val="000000"/>
          <w:sz w:val="24"/>
        </w:rPr>
      </w:pPr>
      <w:r>
        <w:rPr>
          <w:color w:val="000000"/>
          <w:sz w:val="24"/>
        </w:rPr>
        <w:t>(二)出现影响采购公正的违法、违规行为的；</w:t>
      </w:r>
    </w:p>
    <w:p w14:paraId="2334F7C7">
      <w:pPr>
        <w:snapToGrid w:val="0"/>
        <w:spacing w:line="360" w:lineRule="auto"/>
        <w:ind w:firstLine="480" w:firstLineChars="200"/>
        <w:jc w:val="left"/>
        <w:rPr>
          <w:color w:val="000000"/>
          <w:sz w:val="24"/>
        </w:rPr>
      </w:pPr>
      <w:r>
        <w:rPr>
          <w:color w:val="000000"/>
          <w:sz w:val="24"/>
        </w:rPr>
        <w:t>(三)在采购过程中符合要求的供应商不足3家的。</w:t>
      </w:r>
    </w:p>
    <w:p w14:paraId="69870381">
      <w:pPr>
        <w:snapToGrid w:val="0"/>
        <w:spacing w:line="360" w:lineRule="auto"/>
        <w:ind w:firstLine="482" w:firstLineChars="200"/>
        <w:jc w:val="left"/>
        <w:rPr>
          <w:b/>
          <w:bCs/>
          <w:color w:val="000000"/>
          <w:sz w:val="24"/>
        </w:rPr>
      </w:pPr>
      <w:r>
        <w:rPr>
          <w:b/>
          <w:bCs/>
          <w:color w:val="000000"/>
          <w:sz w:val="24"/>
        </w:rPr>
        <w:t>八、成交通知</w:t>
      </w:r>
    </w:p>
    <w:p w14:paraId="2D30A52E">
      <w:pPr>
        <w:snapToGrid w:val="0"/>
        <w:spacing w:line="360" w:lineRule="auto"/>
        <w:ind w:firstLine="480" w:firstLineChars="200"/>
        <w:jc w:val="left"/>
        <w:rPr>
          <w:color w:val="000000"/>
          <w:sz w:val="24"/>
        </w:rPr>
      </w:pPr>
      <w:r>
        <w:rPr>
          <w:color w:val="000000"/>
          <w:sz w:val="24"/>
        </w:rPr>
        <w:t>成交结果在南通市生态环境局官网公告期限为1个工作日。《成交通知书》一经发出，采购人改变成交结果，或者成交供应商放弃成交的，各自承担相应的法律责任。《成交通知书》是采购合同的组成部分。</w:t>
      </w:r>
    </w:p>
    <w:p w14:paraId="2C1D079D">
      <w:pPr>
        <w:snapToGrid w:val="0"/>
        <w:spacing w:line="300" w:lineRule="auto"/>
        <w:ind w:firstLine="480" w:firstLineChars="200"/>
        <w:rPr>
          <w:color w:val="000000"/>
          <w:sz w:val="24"/>
        </w:rPr>
      </w:pPr>
    </w:p>
    <w:p w14:paraId="34066382">
      <w:pPr>
        <w:snapToGrid w:val="0"/>
        <w:spacing w:line="300" w:lineRule="auto"/>
        <w:rPr>
          <w:b/>
          <w:bCs/>
          <w:color w:val="000000"/>
          <w:sz w:val="36"/>
          <w:szCs w:val="36"/>
        </w:rPr>
      </w:pPr>
    </w:p>
    <w:p w14:paraId="1F5E2FCF">
      <w:pPr>
        <w:snapToGrid w:val="0"/>
        <w:spacing w:line="300" w:lineRule="auto"/>
        <w:ind w:firstLine="723" w:firstLineChars="200"/>
        <w:jc w:val="center"/>
        <w:outlineLvl w:val="0"/>
        <w:rPr>
          <w:b/>
          <w:bCs/>
          <w:color w:val="000000"/>
          <w:sz w:val="36"/>
          <w:szCs w:val="36"/>
        </w:rPr>
      </w:pPr>
      <w:r>
        <w:rPr>
          <w:b/>
          <w:bCs/>
          <w:color w:val="000000"/>
          <w:sz w:val="36"/>
          <w:szCs w:val="36"/>
        </w:rPr>
        <w:br w:type="page"/>
      </w:r>
      <w:r>
        <w:rPr>
          <w:rFonts w:hAnsi="宋体"/>
          <w:b/>
          <w:bCs/>
          <w:color w:val="000000"/>
          <w:sz w:val="36"/>
          <w:szCs w:val="36"/>
        </w:rPr>
        <w:t>第五部分</w:t>
      </w:r>
      <w:r>
        <w:rPr>
          <w:b/>
          <w:bCs/>
          <w:color w:val="000000"/>
          <w:sz w:val="36"/>
          <w:szCs w:val="36"/>
        </w:rPr>
        <w:t xml:space="preserve">  </w:t>
      </w:r>
      <w:r>
        <w:rPr>
          <w:rFonts w:hAnsi="宋体"/>
          <w:b/>
          <w:bCs/>
          <w:color w:val="000000"/>
          <w:sz w:val="36"/>
          <w:szCs w:val="36"/>
        </w:rPr>
        <w:t>合同及履约保证</w:t>
      </w:r>
    </w:p>
    <w:p w14:paraId="20718E6A">
      <w:pPr>
        <w:snapToGrid w:val="0"/>
        <w:spacing w:line="360" w:lineRule="auto"/>
        <w:ind w:firstLine="480" w:firstLineChars="200"/>
        <w:jc w:val="left"/>
        <w:rPr>
          <w:color w:val="000000"/>
          <w:sz w:val="24"/>
        </w:rPr>
      </w:pPr>
      <w:r>
        <w:rPr>
          <w:color w:val="000000"/>
          <w:sz w:val="24"/>
        </w:rPr>
        <w:t>一、成交供应商和采购单位在接到《成交通知书》后十五日内签订合同。合同签订后成交供应商方可履约，否则引起的一切后果由成交人自行承担。纸质合同一式陆份，采购人、供应商各叁份。所签合同不得对采购文件作实质性修改。采购单位不得向成交供应商提出不合理的要求作为签订合同的条件，不得与成交供应商私下订立背离采购文件实质性内容的协议。</w:t>
      </w:r>
    </w:p>
    <w:p w14:paraId="0171DD24">
      <w:pPr>
        <w:snapToGrid w:val="0"/>
        <w:spacing w:line="360" w:lineRule="auto"/>
        <w:ind w:firstLine="480" w:firstLineChars="200"/>
        <w:jc w:val="left"/>
        <w:rPr>
          <w:color w:val="000000"/>
          <w:sz w:val="24"/>
        </w:rPr>
      </w:pPr>
      <w:r>
        <w:rPr>
          <w:color w:val="000000"/>
          <w:sz w:val="24"/>
        </w:rPr>
        <w:t>二、采购人按合同约定积极配合成交供应商履约，成交供应商履约到位后，请以书面形式向采购单位提出验收申请，采购人接到申请后原则上在5个工作日内及时组织相关专业技术人员共同参与验收，并出具验收报告，验收合格的原则上5个工作日内支付相应款项。</w:t>
      </w:r>
    </w:p>
    <w:p w14:paraId="756EDEA1">
      <w:pPr>
        <w:snapToGrid w:val="0"/>
        <w:spacing w:line="360" w:lineRule="auto"/>
        <w:ind w:firstLine="480" w:firstLineChars="200"/>
        <w:jc w:val="left"/>
        <w:rPr>
          <w:color w:val="000000"/>
          <w:sz w:val="24"/>
        </w:rPr>
      </w:pPr>
      <w:r>
        <w:rPr>
          <w:color w:val="000000"/>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75F484CF">
      <w:pPr>
        <w:snapToGrid w:val="0"/>
        <w:spacing w:line="360" w:lineRule="auto"/>
        <w:ind w:firstLine="480" w:firstLineChars="200"/>
        <w:jc w:val="left"/>
        <w:rPr>
          <w:color w:val="000000"/>
          <w:sz w:val="24"/>
        </w:rPr>
      </w:pPr>
      <w:r>
        <w:rPr>
          <w:color w:val="000000"/>
          <w:sz w:val="24"/>
        </w:rPr>
        <w:t>四、成交供应商出现违约情形，应当及时纠正或补偿；造成损失的，按合同约定追究违约责任；发现有假冒、伪劣、走私产品、商业贿赂等违法情形的，应由采购人移交工商、质监、公安等行政执法部门依法查处。</w:t>
      </w:r>
    </w:p>
    <w:p w14:paraId="66587DF2">
      <w:pPr>
        <w:snapToGrid w:val="0"/>
        <w:spacing w:line="360" w:lineRule="auto"/>
        <w:ind w:firstLine="482" w:firstLineChars="200"/>
        <w:jc w:val="left"/>
        <w:rPr>
          <w:b/>
          <w:color w:val="000000"/>
          <w:sz w:val="24"/>
        </w:rPr>
      </w:pPr>
      <w:r>
        <w:rPr>
          <w:b/>
          <w:color w:val="000000"/>
          <w:sz w:val="24"/>
        </w:rPr>
        <w:t>五、不响应付款方式的，视同响应文件无效处理。</w:t>
      </w:r>
    </w:p>
    <w:p w14:paraId="088E13FA">
      <w:pPr>
        <w:snapToGrid w:val="0"/>
        <w:spacing w:line="360" w:lineRule="auto"/>
        <w:ind w:firstLine="480" w:firstLineChars="200"/>
        <w:jc w:val="left"/>
        <w:rPr>
          <w:color w:val="000000"/>
          <w:sz w:val="24"/>
        </w:rPr>
      </w:pPr>
      <w:r>
        <w:rPr>
          <w:color w:val="000000"/>
          <w:sz w:val="24"/>
        </w:rPr>
        <w:t>款项由采购人按相关财务支付规定办理支付手续。不得故意拖延支付时间。</w:t>
      </w:r>
    </w:p>
    <w:p w14:paraId="7604E45F">
      <w:pPr>
        <w:snapToGrid w:val="0"/>
        <w:spacing w:line="360" w:lineRule="auto"/>
        <w:ind w:firstLine="480" w:firstLineChars="200"/>
        <w:jc w:val="left"/>
        <w:rPr>
          <w:color w:val="000000"/>
          <w:sz w:val="24"/>
        </w:rPr>
      </w:pPr>
      <w:r>
        <w:rPr>
          <w:color w:val="000000"/>
          <w:sz w:val="24"/>
        </w:rPr>
        <w:t>每次付款前，成交供应商须按采购人要求提供正式发票。</w:t>
      </w:r>
    </w:p>
    <w:p w14:paraId="581B9536">
      <w:pPr>
        <w:snapToGrid w:val="0"/>
        <w:spacing w:line="360" w:lineRule="auto"/>
        <w:ind w:firstLine="480" w:firstLineChars="200"/>
        <w:jc w:val="left"/>
        <w:rPr>
          <w:color w:val="000000"/>
          <w:sz w:val="24"/>
        </w:rPr>
      </w:pPr>
    </w:p>
    <w:p w14:paraId="19962436">
      <w:pPr>
        <w:pStyle w:val="2"/>
        <w:ind w:firstLine="420"/>
      </w:pPr>
    </w:p>
    <w:p w14:paraId="0B59DB32">
      <w:pPr>
        <w:pStyle w:val="2"/>
        <w:ind w:firstLine="420"/>
      </w:pPr>
      <w:r>
        <w:t>附：合同格式条款</w:t>
      </w:r>
    </w:p>
    <w:p w14:paraId="2B7F3EC6">
      <w:pPr>
        <w:wordWrap w:val="0"/>
        <w:ind w:firstLine="373"/>
        <w:jc w:val="right"/>
        <w:rPr>
          <w:rFonts w:eastAsia="方正仿宋_GBK"/>
          <w:sz w:val="30"/>
        </w:rPr>
      </w:pPr>
    </w:p>
    <w:p w14:paraId="32566024">
      <w:pPr>
        <w:wordWrap w:val="0"/>
        <w:ind w:firstLine="373"/>
        <w:jc w:val="right"/>
        <w:rPr>
          <w:rFonts w:eastAsia="方正仿宋_GBK"/>
          <w:sz w:val="30"/>
        </w:rPr>
      </w:pPr>
      <w:r>
        <w:rPr>
          <w:rFonts w:eastAsia="方正仿宋_GBK"/>
          <w:sz w:val="30"/>
        </w:rPr>
        <w:br w:type="page"/>
      </w:r>
    </w:p>
    <w:p w14:paraId="21F9F8D8">
      <w:pPr>
        <w:wordWrap w:val="0"/>
        <w:ind w:firstLine="373"/>
        <w:jc w:val="right"/>
        <w:rPr>
          <w:rFonts w:eastAsia="方正仿宋_GBK"/>
          <w:sz w:val="28"/>
          <w:szCs w:val="28"/>
        </w:rPr>
      </w:pPr>
      <w:r>
        <w:rPr>
          <w:rFonts w:eastAsia="方正仿宋_GBK"/>
          <w:sz w:val="20"/>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297180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1pt;margin-top:23.4pt;height:0pt;width:0.05pt;z-index:251659264;mso-width-relative:page;mso-height-relative:page;" filled="f" stroked="t" coordsize="21600,21600" o:gfxdata="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0IAMv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eastAsia="方正仿宋_GBK"/>
          <w:sz w:val="30"/>
        </w:rPr>
        <w:t>编号：</w:t>
      </w:r>
      <w:r>
        <w:rPr>
          <w:rFonts w:eastAsia="方正仿宋_GBK"/>
          <w:sz w:val="28"/>
          <w:szCs w:val="28"/>
          <w:u w:val="single"/>
        </w:rPr>
        <w:t xml:space="preserve">          </w:t>
      </w:r>
    </w:p>
    <w:p w14:paraId="677FC3C4">
      <w:pPr>
        <w:jc w:val="center"/>
        <w:rPr>
          <w:rFonts w:eastAsia="方正黑体_GBK"/>
          <w:bCs/>
          <w:sz w:val="72"/>
          <w:szCs w:val="72"/>
        </w:rPr>
      </w:pPr>
    </w:p>
    <w:p w14:paraId="314AA1E4">
      <w:pPr>
        <w:jc w:val="center"/>
        <w:rPr>
          <w:rFonts w:eastAsia="方正黑体_GBK"/>
          <w:bCs/>
          <w:sz w:val="72"/>
          <w:szCs w:val="72"/>
        </w:rPr>
      </w:pPr>
    </w:p>
    <w:p w14:paraId="081C7138">
      <w:pPr>
        <w:jc w:val="center"/>
        <w:rPr>
          <w:rFonts w:eastAsia="方正黑体_GBK"/>
          <w:sz w:val="72"/>
          <w:szCs w:val="72"/>
        </w:rPr>
      </w:pPr>
      <w:r>
        <w:rPr>
          <w:rFonts w:eastAsia="方正黑体_GBK"/>
          <w:bCs/>
          <w:sz w:val="72"/>
          <w:szCs w:val="72"/>
        </w:rPr>
        <w:t>技术服务合同书</w:t>
      </w:r>
    </w:p>
    <w:p w14:paraId="58B6E67B"/>
    <w:p w14:paraId="7D9163C6"/>
    <w:p w14:paraId="28794558"/>
    <w:p w14:paraId="4C3CC829"/>
    <w:p w14:paraId="2B85B33A">
      <w:pPr>
        <w:ind w:firstLine="420" w:firstLineChars="200"/>
        <w:jc w:val="center"/>
      </w:pPr>
    </w:p>
    <w:p w14:paraId="0E514DEC">
      <w:pPr>
        <w:spacing w:line="360" w:lineRule="auto"/>
        <w:ind w:firstLine="562" w:firstLineChars="200"/>
        <w:jc w:val="left"/>
        <w:rPr>
          <w:b/>
          <w:bCs/>
          <w:color w:val="000000"/>
          <w:sz w:val="28"/>
          <w:u w:val="single"/>
        </w:rPr>
      </w:pPr>
      <w:r>
        <w:rPr>
          <w:rFonts w:hAnsi="宋体"/>
          <w:b/>
          <w:color w:val="000000"/>
          <w:sz w:val="28"/>
        </w:rPr>
        <w:t>项目名称：</w:t>
      </w:r>
      <w:r>
        <w:rPr>
          <w:b/>
          <w:bCs/>
          <w:color w:val="000000"/>
          <w:sz w:val="28"/>
          <w:u w:val="single"/>
        </w:rPr>
        <w:t xml:space="preserve">                                               </w:t>
      </w:r>
    </w:p>
    <w:p w14:paraId="0007D895">
      <w:pPr>
        <w:spacing w:line="360" w:lineRule="auto"/>
        <w:ind w:firstLine="562" w:firstLineChars="200"/>
        <w:jc w:val="left"/>
        <w:rPr>
          <w:b/>
          <w:bCs/>
          <w:color w:val="000000"/>
          <w:sz w:val="28"/>
          <w:u w:val="single"/>
        </w:rPr>
      </w:pPr>
    </w:p>
    <w:p w14:paraId="663A28CD">
      <w:pPr>
        <w:spacing w:line="360" w:lineRule="auto"/>
        <w:ind w:firstLine="562" w:firstLineChars="200"/>
        <w:rPr>
          <w:b/>
          <w:color w:val="000000"/>
          <w:sz w:val="28"/>
          <w:u w:val="single"/>
        </w:rPr>
      </w:pPr>
      <w:r>
        <w:rPr>
          <w:rFonts w:hAnsi="宋体"/>
          <w:b/>
          <w:color w:val="000000"/>
          <w:sz w:val="28"/>
        </w:rPr>
        <w:t>委托方（甲方）：</w:t>
      </w:r>
      <w:r>
        <w:rPr>
          <w:b/>
          <w:color w:val="000000"/>
          <w:sz w:val="28"/>
          <w:u w:val="single"/>
        </w:rPr>
        <w:t xml:space="preserve">                                          </w:t>
      </w:r>
    </w:p>
    <w:p w14:paraId="57043C50">
      <w:pPr>
        <w:spacing w:line="360" w:lineRule="auto"/>
        <w:ind w:firstLine="560" w:firstLineChars="200"/>
        <w:rPr>
          <w:color w:val="000000"/>
          <w:sz w:val="28"/>
          <w:u w:val="single"/>
        </w:rPr>
      </w:pPr>
    </w:p>
    <w:p w14:paraId="0E9FFF07">
      <w:pPr>
        <w:spacing w:line="360" w:lineRule="auto"/>
        <w:ind w:firstLine="562" w:firstLineChars="200"/>
        <w:rPr>
          <w:b/>
          <w:color w:val="000000"/>
          <w:sz w:val="28"/>
          <w:szCs w:val="28"/>
          <w:u w:val="single"/>
        </w:rPr>
      </w:pPr>
      <w:r>
        <w:rPr>
          <w:rFonts w:hAnsi="宋体"/>
          <w:b/>
          <w:color w:val="000000"/>
          <w:sz w:val="28"/>
        </w:rPr>
        <w:t>委托方（乙方）：</w:t>
      </w:r>
      <w:r>
        <w:rPr>
          <w:b/>
          <w:color w:val="000000"/>
          <w:sz w:val="28"/>
          <w:u w:val="single"/>
        </w:rPr>
        <w:t xml:space="preserve">       </w:t>
      </w:r>
      <w:r>
        <w:rPr>
          <w:b/>
          <w:sz w:val="28"/>
          <w:szCs w:val="28"/>
          <w:u w:val="single"/>
        </w:rPr>
        <w:t xml:space="preserve">                                   </w:t>
      </w:r>
    </w:p>
    <w:p w14:paraId="48EE1E30">
      <w:pPr>
        <w:spacing w:line="360" w:lineRule="auto"/>
        <w:ind w:firstLine="562" w:firstLineChars="200"/>
        <w:jc w:val="left"/>
        <w:rPr>
          <w:b/>
          <w:bCs/>
          <w:color w:val="000000"/>
          <w:sz w:val="28"/>
          <w:u w:val="single"/>
        </w:rPr>
      </w:pPr>
    </w:p>
    <w:p w14:paraId="7C8E9EA2">
      <w:pPr>
        <w:spacing w:line="360" w:lineRule="auto"/>
        <w:ind w:firstLine="562" w:firstLineChars="200"/>
        <w:rPr>
          <w:b/>
          <w:color w:val="000000"/>
          <w:sz w:val="28"/>
        </w:rPr>
      </w:pPr>
      <w:r>
        <w:rPr>
          <w:rFonts w:hAnsi="宋体"/>
          <w:b/>
          <w:color w:val="000000"/>
          <w:sz w:val="28"/>
        </w:rPr>
        <w:t>签订地点：</w:t>
      </w:r>
      <w:r>
        <w:rPr>
          <w:b/>
          <w:color w:val="000000"/>
          <w:sz w:val="28"/>
          <w:u w:val="single"/>
        </w:rPr>
        <w:t xml:space="preserve">                   </w:t>
      </w:r>
      <w:r>
        <w:rPr>
          <w:b/>
          <w:sz w:val="28"/>
          <w:szCs w:val="28"/>
          <w:u w:val="single"/>
        </w:rPr>
        <w:t xml:space="preserve">         </w:t>
      </w:r>
      <w:r>
        <w:rPr>
          <w:b/>
          <w:color w:val="000000"/>
          <w:sz w:val="28"/>
          <w:u w:val="single"/>
        </w:rPr>
        <w:t xml:space="preserve">                   </w:t>
      </w:r>
    </w:p>
    <w:p w14:paraId="61F7422C">
      <w:pPr>
        <w:spacing w:line="360" w:lineRule="auto"/>
        <w:ind w:firstLine="1120" w:firstLineChars="400"/>
        <w:rPr>
          <w:color w:val="000000"/>
          <w:sz w:val="28"/>
        </w:rPr>
      </w:pPr>
      <w:r>
        <w:rPr>
          <w:color w:val="000000"/>
          <w:sz w:val="28"/>
        </w:rPr>
        <w:t xml:space="preserve"> </w:t>
      </w:r>
    </w:p>
    <w:p w14:paraId="0E569ED3">
      <w:pPr>
        <w:spacing w:line="360" w:lineRule="auto"/>
        <w:ind w:firstLine="562" w:firstLineChars="200"/>
        <w:rPr>
          <w:color w:val="000000"/>
          <w:sz w:val="28"/>
        </w:rPr>
      </w:pPr>
      <w:r>
        <w:rPr>
          <w:rFonts w:hAnsi="宋体"/>
          <w:b/>
          <w:color w:val="000000"/>
          <w:sz w:val="28"/>
        </w:rPr>
        <w:t>签订日期：</w:t>
      </w:r>
      <w:r>
        <w:rPr>
          <w:color w:val="000000"/>
          <w:sz w:val="28"/>
          <w:u w:val="single"/>
        </w:rPr>
        <w:t xml:space="preserve">           </w:t>
      </w:r>
      <w:r>
        <w:rPr>
          <w:rFonts w:hAnsi="宋体"/>
          <w:color w:val="000000"/>
          <w:sz w:val="28"/>
        </w:rPr>
        <w:t>年</w:t>
      </w:r>
      <w:r>
        <w:rPr>
          <w:color w:val="000000"/>
          <w:sz w:val="28"/>
          <w:u w:val="single"/>
        </w:rPr>
        <w:t xml:space="preserve">           </w:t>
      </w:r>
      <w:r>
        <w:rPr>
          <w:rFonts w:hAnsi="宋体"/>
          <w:color w:val="000000"/>
          <w:sz w:val="28"/>
        </w:rPr>
        <w:t>月</w:t>
      </w:r>
      <w:r>
        <w:rPr>
          <w:color w:val="000000"/>
          <w:sz w:val="28"/>
          <w:u w:val="single"/>
        </w:rPr>
        <w:t xml:space="preserve">            </w:t>
      </w:r>
      <w:r>
        <w:rPr>
          <w:rFonts w:hAnsi="宋体"/>
          <w:color w:val="000000"/>
          <w:sz w:val="28"/>
        </w:rPr>
        <w:t>日</w:t>
      </w:r>
    </w:p>
    <w:p w14:paraId="1AD2114F">
      <w:pPr>
        <w:spacing w:line="360" w:lineRule="auto"/>
        <w:ind w:firstLine="1120" w:firstLineChars="400"/>
        <w:rPr>
          <w:sz w:val="28"/>
        </w:rPr>
      </w:pPr>
      <w:r>
        <w:rPr>
          <w:sz w:val="28"/>
        </w:rPr>
        <w:t xml:space="preserve"> </w:t>
      </w:r>
    </w:p>
    <w:p w14:paraId="3CF9E8D8">
      <w:pPr>
        <w:spacing w:line="360" w:lineRule="auto"/>
        <w:ind w:firstLine="560" w:firstLineChars="200"/>
        <w:rPr>
          <w:sz w:val="24"/>
        </w:rPr>
      </w:pPr>
      <w:r>
        <w:rPr>
          <w:rFonts w:eastAsia="方正仿宋_GBK"/>
          <w:sz w:val="28"/>
          <w:szCs w:val="28"/>
        </w:rPr>
        <w:br w:type="page"/>
      </w:r>
      <w:r>
        <w:rPr>
          <w:rFonts w:hAnsi="宋体"/>
          <w:sz w:val="24"/>
        </w:rPr>
        <w:t>本项目委托单位为</w:t>
      </w:r>
      <w:r>
        <w:rPr>
          <w:rFonts w:hAnsi="宋体"/>
          <w:sz w:val="24"/>
          <w:u w:val="single"/>
        </w:rPr>
        <w:t>南通市生态环境局</w:t>
      </w:r>
      <w:r>
        <w:rPr>
          <w:rFonts w:hAnsi="宋体"/>
          <w:sz w:val="24"/>
        </w:rPr>
        <w:t>，委托乙方</w:t>
      </w:r>
      <w:r>
        <w:rPr>
          <w:sz w:val="24"/>
          <w:u w:val="single"/>
        </w:rPr>
        <w:t xml:space="preserve">        </w:t>
      </w:r>
      <w:r>
        <w:rPr>
          <w:rFonts w:hAnsi="宋体"/>
          <w:sz w:val="24"/>
        </w:rPr>
        <w:t>开展生态环境损害赔偿管理技术支撑服务工作，并支付相应报酬而签署。双方经过平等协商，在真实、充分地表达各自意愿的基础上，根据《中华人民共和国合同法》的规定，达成如下协议，并由双方共同恪守。</w:t>
      </w:r>
    </w:p>
    <w:p w14:paraId="6FD124C8">
      <w:pPr>
        <w:spacing w:line="360" w:lineRule="auto"/>
        <w:ind w:firstLine="480" w:firstLineChars="200"/>
        <w:jc w:val="left"/>
        <w:rPr>
          <w:bCs/>
          <w:sz w:val="24"/>
        </w:rPr>
      </w:pPr>
      <w:r>
        <w:rPr>
          <w:bCs/>
          <w:sz w:val="24"/>
        </w:rPr>
        <w:t>一、项目内容及要求</w:t>
      </w:r>
    </w:p>
    <w:p w14:paraId="5555D7E7">
      <w:pPr>
        <w:spacing w:line="360" w:lineRule="auto"/>
        <w:ind w:firstLine="482" w:firstLineChars="200"/>
        <w:jc w:val="left"/>
        <w:rPr>
          <w:b/>
          <w:sz w:val="24"/>
        </w:rPr>
      </w:pPr>
      <w:r>
        <w:rPr>
          <w:b/>
          <w:sz w:val="24"/>
        </w:rPr>
        <w:t>（一）服务内容</w:t>
      </w:r>
    </w:p>
    <w:p w14:paraId="2A29DDB8">
      <w:pPr>
        <w:spacing w:line="360" w:lineRule="auto"/>
        <w:ind w:firstLine="480" w:firstLineChars="200"/>
        <w:jc w:val="left"/>
        <w:rPr>
          <w:bCs/>
          <w:sz w:val="24"/>
        </w:rPr>
      </w:pPr>
      <w:r>
        <w:rPr>
          <w:bCs/>
          <w:sz w:val="24"/>
        </w:rPr>
        <w:t>根据南通市生态环境局生态环境损害赔偿环境管理工作的实际需求，进一步抓好南通市生态环境损害赔偿工作，制订“管家式”服务方案，为南通市生态环境局生态环境损害赔偿工作科技化、精细化、规范化提供技术支撑。服务内容不包括具体项目的鉴定评估工作。</w:t>
      </w:r>
    </w:p>
    <w:p w14:paraId="41A0C370">
      <w:pPr>
        <w:spacing w:line="360" w:lineRule="auto"/>
        <w:ind w:firstLine="482" w:firstLineChars="200"/>
        <w:jc w:val="left"/>
        <w:rPr>
          <w:b/>
          <w:sz w:val="24"/>
        </w:rPr>
      </w:pPr>
      <w:r>
        <w:rPr>
          <w:b/>
          <w:sz w:val="24"/>
        </w:rPr>
        <w:t>（二）服务方式</w:t>
      </w:r>
    </w:p>
    <w:p w14:paraId="04743EEF">
      <w:pPr>
        <w:spacing w:line="360" w:lineRule="auto"/>
        <w:ind w:firstLine="480" w:firstLineChars="200"/>
        <w:jc w:val="left"/>
        <w:rPr>
          <w:bCs/>
          <w:sz w:val="24"/>
        </w:rPr>
      </w:pPr>
      <w:r>
        <w:rPr>
          <w:bCs/>
          <w:sz w:val="24"/>
        </w:rPr>
        <w:t>为生态环境损害赔偿工作提供全方位的技术支撑，安排专业的技术团队（不少于3人）成立项目组，根据甲方的需求开展技术服务工作。</w:t>
      </w:r>
    </w:p>
    <w:p w14:paraId="62CF6C34">
      <w:pPr>
        <w:spacing w:line="360" w:lineRule="auto"/>
        <w:ind w:firstLine="482" w:firstLineChars="200"/>
        <w:jc w:val="left"/>
        <w:rPr>
          <w:b/>
          <w:sz w:val="24"/>
        </w:rPr>
      </w:pPr>
      <w:r>
        <w:rPr>
          <w:b/>
          <w:sz w:val="24"/>
        </w:rPr>
        <w:t>（三）服务周期</w:t>
      </w:r>
    </w:p>
    <w:p w14:paraId="23C974F3">
      <w:pPr>
        <w:spacing w:line="360" w:lineRule="auto"/>
        <w:ind w:firstLine="480" w:firstLineChars="200"/>
        <w:jc w:val="left"/>
        <w:rPr>
          <w:bCs/>
          <w:sz w:val="24"/>
        </w:rPr>
      </w:pPr>
      <w:r>
        <w:rPr>
          <w:bCs/>
          <w:sz w:val="24"/>
        </w:rPr>
        <w:t>自合同签订之日起一年。</w:t>
      </w:r>
    </w:p>
    <w:p w14:paraId="389EE04D">
      <w:pPr>
        <w:spacing w:line="360" w:lineRule="auto"/>
        <w:ind w:firstLine="480" w:firstLineChars="200"/>
        <w:jc w:val="left"/>
        <w:rPr>
          <w:bCs/>
          <w:sz w:val="24"/>
        </w:rPr>
      </w:pPr>
      <w:r>
        <w:rPr>
          <w:bCs/>
          <w:sz w:val="24"/>
        </w:rPr>
        <w:t>二、甲方权利和义务</w:t>
      </w:r>
    </w:p>
    <w:p w14:paraId="0A1B6D7C">
      <w:pPr>
        <w:spacing w:line="360" w:lineRule="auto"/>
        <w:ind w:firstLine="480" w:firstLineChars="200"/>
        <w:jc w:val="left"/>
        <w:rPr>
          <w:sz w:val="24"/>
        </w:rPr>
      </w:pPr>
      <w:r>
        <w:rPr>
          <w:sz w:val="24"/>
        </w:rPr>
        <w:t>1、甲方须在合同约定期内向乙方提供开展工作所需的有关技术资料，就乙方需书面回复的事宜作出书面答复，并对提供资料的真实性负责。</w:t>
      </w:r>
    </w:p>
    <w:p w14:paraId="0E9942F3">
      <w:pPr>
        <w:spacing w:line="360" w:lineRule="auto"/>
        <w:ind w:firstLine="480" w:firstLineChars="200"/>
        <w:jc w:val="left"/>
        <w:rPr>
          <w:sz w:val="24"/>
        </w:rPr>
      </w:pPr>
      <w:r>
        <w:rPr>
          <w:sz w:val="24"/>
        </w:rPr>
        <w:t>2、甲方应为乙方履行本合同提供相应便利，协助乙方人员开展与当地有关政府部门的沟通和协调工作，保障乙方项目开展的现场条件。</w:t>
      </w:r>
    </w:p>
    <w:p w14:paraId="23DA9BFF">
      <w:pPr>
        <w:spacing w:line="360" w:lineRule="auto"/>
        <w:ind w:firstLine="480" w:firstLineChars="200"/>
        <w:jc w:val="left"/>
        <w:rPr>
          <w:sz w:val="24"/>
        </w:rPr>
      </w:pPr>
      <w:r>
        <w:rPr>
          <w:sz w:val="24"/>
        </w:rPr>
        <w:t>3、甲方有权向乙方了解服务进展情况等相关内容，有权向乙方提出对具体问题的意见和建议。</w:t>
      </w:r>
    </w:p>
    <w:p w14:paraId="560F64BD">
      <w:pPr>
        <w:spacing w:line="360" w:lineRule="auto"/>
        <w:ind w:firstLine="480" w:firstLineChars="200"/>
        <w:jc w:val="left"/>
        <w:rPr>
          <w:sz w:val="24"/>
        </w:rPr>
      </w:pPr>
      <w:r>
        <w:rPr>
          <w:sz w:val="24"/>
        </w:rPr>
        <w:t>4、当甲方认为乙方的专业人员不按合同约定履行义务或与第三人串通损害甲方利益的，甲方有权要求乙方更换专业人员或双方协商解决。</w:t>
      </w:r>
    </w:p>
    <w:p w14:paraId="739A623B">
      <w:pPr>
        <w:spacing w:line="360" w:lineRule="auto"/>
        <w:ind w:firstLine="480" w:firstLineChars="200"/>
        <w:jc w:val="left"/>
        <w:rPr>
          <w:sz w:val="24"/>
        </w:rPr>
      </w:pPr>
      <w:r>
        <w:rPr>
          <w:sz w:val="24"/>
        </w:rPr>
        <w:t>5、甲方应指定专人负责与乙方保持联系。</w:t>
      </w:r>
    </w:p>
    <w:p w14:paraId="1153B98E">
      <w:pPr>
        <w:spacing w:line="360" w:lineRule="auto"/>
        <w:ind w:firstLine="480" w:firstLineChars="200"/>
        <w:jc w:val="left"/>
        <w:rPr>
          <w:sz w:val="24"/>
        </w:rPr>
      </w:pPr>
      <w:r>
        <w:rPr>
          <w:sz w:val="24"/>
        </w:rPr>
        <w:t>6、按本合同约定及时支付相关费用。</w:t>
      </w:r>
    </w:p>
    <w:p w14:paraId="325ED47A">
      <w:pPr>
        <w:spacing w:line="360" w:lineRule="auto"/>
        <w:ind w:firstLine="480" w:firstLineChars="200"/>
        <w:jc w:val="left"/>
        <w:rPr>
          <w:bCs/>
          <w:sz w:val="24"/>
        </w:rPr>
      </w:pPr>
      <w:r>
        <w:rPr>
          <w:bCs/>
          <w:sz w:val="24"/>
        </w:rPr>
        <w:t>三、乙方权利和义务</w:t>
      </w:r>
    </w:p>
    <w:p w14:paraId="704349FD">
      <w:pPr>
        <w:spacing w:line="360" w:lineRule="auto"/>
        <w:ind w:firstLine="480" w:firstLineChars="200"/>
        <w:jc w:val="left"/>
        <w:rPr>
          <w:sz w:val="24"/>
        </w:rPr>
      </w:pPr>
      <w:r>
        <w:rPr>
          <w:sz w:val="24"/>
        </w:rPr>
        <w:t>1、在服务过程中，若甲方提供的资料不明确时，乙方有权实地勘察，有权向甲方提出书面报告要求甲方予以明确。</w:t>
      </w:r>
    </w:p>
    <w:p w14:paraId="4205C57A">
      <w:pPr>
        <w:spacing w:line="360" w:lineRule="auto"/>
        <w:ind w:firstLine="480" w:firstLineChars="200"/>
        <w:jc w:val="left"/>
        <w:rPr>
          <w:sz w:val="24"/>
        </w:rPr>
      </w:pPr>
      <w:r>
        <w:rPr>
          <w:sz w:val="24"/>
        </w:rPr>
        <w:t>2、乙方应及时答复甲方提出的具体问题和建议。</w:t>
      </w:r>
    </w:p>
    <w:p w14:paraId="7C23C20D">
      <w:pPr>
        <w:spacing w:line="360" w:lineRule="auto"/>
        <w:ind w:firstLine="480" w:firstLineChars="200"/>
        <w:jc w:val="left"/>
        <w:rPr>
          <w:sz w:val="24"/>
        </w:rPr>
      </w:pPr>
      <w:r>
        <w:rPr>
          <w:sz w:val="24"/>
        </w:rPr>
        <w:t>3、乙方（包括其专业人员）不得参与可能与甲方利益相冲突的任何活动。</w:t>
      </w:r>
    </w:p>
    <w:p w14:paraId="7BFC9685">
      <w:pPr>
        <w:spacing w:line="360" w:lineRule="auto"/>
        <w:ind w:firstLine="480" w:firstLineChars="200"/>
        <w:jc w:val="left"/>
        <w:rPr>
          <w:sz w:val="24"/>
        </w:rPr>
      </w:pPr>
      <w:r>
        <w:rPr>
          <w:sz w:val="24"/>
        </w:rPr>
        <w:t>4、乙方及其人员须为甲方相关信息履行保密义务。</w:t>
      </w:r>
    </w:p>
    <w:p w14:paraId="3B861A96">
      <w:pPr>
        <w:spacing w:line="360" w:lineRule="auto"/>
        <w:ind w:firstLine="480" w:firstLineChars="200"/>
        <w:jc w:val="left"/>
        <w:rPr>
          <w:sz w:val="24"/>
        </w:rPr>
      </w:pPr>
      <w:r>
        <w:rPr>
          <w:sz w:val="24"/>
        </w:rPr>
        <w:t>5、乙方应当指定专人与甲方联系，该联系人应及时答复甲方的咨询并做好与本合同下服务有关的协调工作。</w:t>
      </w:r>
    </w:p>
    <w:p w14:paraId="78453BB1">
      <w:pPr>
        <w:spacing w:line="360" w:lineRule="auto"/>
        <w:ind w:firstLine="480" w:firstLineChars="200"/>
        <w:jc w:val="left"/>
        <w:rPr>
          <w:bCs/>
          <w:sz w:val="24"/>
        </w:rPr>
      </w:pPr>
      <w:r>
        <w:rPr>
          <w:bCs/>
          <w:sz w:val="24"/>
        </w:rPr>
        <w:t>四、验收方式和质量要求</w:t>
      </w:r>
    </w:p>
    <w:p w14:paraId="390AD5CB">
      <w:pPr>
        <w:spacing w:line="360" w:lineRule="auto"/>
        <w:ind w:firstLine="482" w:firstLineChars="200"/>
        <w:jc w:val="left"/>
        <w:rPr>
          <w:b/>
          <w:sz w:val="24"/>
        </w:rPr>
      </w:pPr>
      <w:r>
        <w:rPr>
          <w:b/>
          <w:sz w:val="24"/>
        </w:rPr>
        <w:t>（一）验收方式</w:t>
      </w:r>
    </w:p>
    <w:p w14:paraId="3D8086C8">
      <w:pPr>
        <w:spacing w:line="360" w:lineRule="auto"/>
        <w:ind w:firstLine="480" w:firstLineChars="200"/>
        <w:jc w:val="left"/>
        <w:rPr>
          <w:sz w:val="24"/>
        </w:rPr>
      </w:pPr>
      <w:r>
        <w:rPr>
          <w:sz w:val="24"/>
        </w:rPr>
        <w:t>本合同生效后，乙方提供为期1年的技术服务工作。如遇有特殊情况，双方协商一致，时间可顺延。</w:t>
      </w:r>
    </w:p>
    <w:p w14:paraId="4652E52B">
      <w:pPr>
        <w:spacing w:line="360" w:lineRule="auto"/>
        <w:ind w:firstLine="482" w:firstLineChars="200"/>
        <w:jc w:val="left"/>
        <w:rPr>
          <w:b/>
          <w:sz w:val="24"/>
        </w:rPr>
      </w:pPr>
      <w:r>
        <w:rPr>
          <w:b/>
          <w:sz w:val="24"/>
        </w:rPr>
        <w:t>（二）质量要求</w:t>
      </w:r>
    </w:p>
    <w:p w14:paraId="4FA9516B">
      <w:pPr>
        <w:spacing w:line="360" w:lineRule="auto"/>
        <w:ind w:firstLine="480" w:firstLineChars="200"/>
        <w:jc w:val="left"/>
        <w:rPr>
          <w:sz w:val="24"/>
        </w:rPr>
      </w:pPr>
      <w:r>
        <w:rPr>
          <w:sz w:val="24"/>
        </w:rPr>
        <w:t>本合同下乙方向甲方提供的技术服务应符合我国相关的法律法规、规章、标准和规范性文件的规定。</w:t>
      </w:r>
    </w:p>
    <w:p w14:paraId="18993488">
      <w:pPr>
        <w:spacing w:line="360" w:lineRule="auto"/>
        <w:ind w:firstLine="480" w:firstLineChars="200"/>
        <w:jc w:val="left"/>
        <w:rPr>
          <w:bCs/>
          <w:sz w:val="24"/>
        </w:rPr>
      </w:pPr>
      <w:r>
        <w:rPr>
          <w:bCs/>
          <w:sz w:val="24"/>
        </w:rPr>
        <w:t>五、服务报酬及支付方式</w:t>
      </w:r>
    </w:p>
    <w:p w14:paraId="719F5797">
      <w:pPr>
        <w:numPr>
          <w:ilvl w:val="0"/>
          <w:numId w:val="1"/>
        </w:numPr>
        <w:spacing w:line="360" w:lineRule="auto"/>
        <w:ind w:left="0" w:firstLine="482" w:firstLineChars="200"/>
        <w:jc w:val="left"/>
        <w:rPr>
          <w:b/>
          <w:sz w:val="24"/>
        </w:rPr>
      </w:pPr>
      <w:r>
        <w:rPr>
          <w:b/>
          <w:sz w:val="24"/>
        </w:rPr>
        <w:t>服务报酬</w:t>
      </w:r>
    </w:p>
    <w:p w14:paraId="42A2FD2C">
      <w:pPr>
        <w:spacing w:line="360" w:lineRule="auto"/>
        <w:ind w:firstLine="480" w:firstLineChars="200"/>
        <w:jc w:val="left"/>
        <w:rPr>
          <w:color w:val="000000"/>
          <w:sz w:val="24"/>
        </w:rPr>
      </w:pPr>
      <w:r>
        <w:rPr>
          <w:sz w:val="24"/>
        </w:rPr>
        <w:t>本合同总费用为</w:t>
      </w:r>
      <w:r>
        <w:rPr>
          <w:b/>
          <w:sz w:val="24"/>
          <w:u w:val="single"/>
        </w:rPr>
        <w:t>人</w:t>
      </w:r>
      <w:r>
        <w:rPr>
          <w:b/>
          <w:color w:val="000000"/>
          <w:sz w:val="24"/>
          <w:u w:val="single"/>
        </w:rPr>
        <w:t xml:space="preserve">民币大写金额                </w:t>
      </w:r>
      <w:r>
        <w:rPr>
          <w:b/>
          <w:sz w:val="24"/>
          <w:u w:val="single"/>
        </w:rPr>
        <w:t>（¥            ）</w:t>
      </w:r>
      <w:r>
        <w:rPr>
          <w:color w:val="000000"/>
          <w:sz w:val="24"/>
        </w:rPr>
        <w:t>，主要包含技术服务工作，不含开展具体项目鉴定评估的费用等。</w:t>
      </w:r>
    </w:p>
    <w:p w14:paraId="572CF2F9">
      <w:pPr>
        <w:spacing w:line="360" w:lineRule="auto"/>
        <w:ind w:firstLine="482" w:firstLineChars="200"/>
        <w:jc w:val="left"/>
        <w:rPr>
          <w:b/>
          <w:sz w:val="24"/>
        </w:rPr>
      </w:pPr>
      <w:r>
        <w:rPr>
          <w:b/>
          <w:sz w:val="24"/>
        </w:rPr>
        <w:t>（二）支付方式</w:t>
      </w:r>
    </w:p>
    <w:p w14:paraId="7CDC2ABC">
      <w:pPr>
        <w:spacing w:line="360" w:lineRule="auto"/>
        <w:ind w:firstLine="480" w:firstLineChars="200"/>
        <w:jc w:val="left"/>
        <w:rPr>
          <w:rFonts w:hint="eastAsia"/>
          <w:sz w:val="24"/>
        </w:rPr>
      </w:pPr>
      <w:r>
        <w:rPr>
          <w:rFonts w:hint="eastAsia"/>
          <w:sz w:val="24"/>
        </w:rPr>
        <w:t>服务报酬由甲方分期支付乙方。具体支付方式和时间如下：</w:t>
      </w:r>
    </w:p>
    <w:p w14:paraId="23E58644">
      <w:pPr>
        <w:spacing w:line="360" w:lineRule="auto"/>
        <w:ind w:firstLine="480" w:firstLineChars="200"/>
        <w:jc w:val="left"/>
        <w:rPr>
          <w:rFonts w:hint="eastAsia"/>
          <w:sz w:val="24"/>
        </w:rPr>
      </w:pPr>
      <w:r>
        <w:rPr>
          <w:rFonts w:hint="eastAsia"/>
          <w:sz w:val="24"/>
        </w:rPr>
        <w:t>合同签订生效后</w:t>
      </w:r>
      <w:r>
        <w:rPr>
          <w:rFonts w:hint="eastAsia"/>
          <w:sz w:val="24"/>
          <w:lang w:val="en-US" w:eastAsia="zh-CN"/>
        </w:rPr>
        <w:t>30</w:t>
      </w:r>
      <w:r>
        <w:rPr>
          <w:rFonts w:hint="eastAsia"/>
          <w:sz w:val="24"/>
        </w:rPr>
        <w:t>日内，甲方向乙方支付合同全额的</w:t>
      </w:r>
      <w:r>
        <w:rPr>
          <w:rFonts w:hint="eastAsia"/>
          <w:sz w:val="24"/>
          <w:lang w:val="en-US" w:eastAsia="zh-CN"/>
        </w:rPr>
        <w:t>5</w:t>
      </w:r>
      <w:r>
        <w:rPr>
          <w:rFonts w:hint="eastAsia"/>
          <w:sz w:val="24"/>
        </w:rPr>
        <w:t>0%费用，即人民币大写金额        （¥             ）；</w:t>
      </w:r>
    </w:p>
    <w:p w14:paraId="2FD1458D">
      <w:pPr>
        <w:spacing w:line="360" w:lineRule="auto"/>
        <w:ind w:firstLine="480" w:firstLineChars="200"/>
        <w:jc w:val="left"/>
        <w:rPr>
          <w:sz w:val="24"/>
        </w:rPr>
      </w:pPr>
      <w:r>
        <w:rPr>
          <w:rFonts w:hint="eastAsia"/>
          <w:sz w:val="24"/>
        </w:rPr>
        <w:t>服务周期结束后，甲方根据合同履行考核要求进行扣款，否则向乙方支付合同全额的</w:t>
      </w:r>
      <w:r>
        <w:rPr>
          <w:rFonts w:hint="eastAsia"/>
          <w:sz w:val="24"/>
          <w:lang w:val="en-US" w:eastAsia="zh-CN"/>
        </w:rPr>
        <w:t>5</w:t>
      </w:r>
      <w:r>
        <w:rPr>
          <w:rFonts w:hint="eastAsia"/>
          <w:sz w:val="24"/>
        </w:rPr>
        <w:t>0%费用，即人民币大写金额        （¥             ）。</w:t>
      </w:r>
    </w:p>
    <w:p w14:paraId="25AF0228">
      <w:pPr>
        <w:spacing w:line="360" w:lineRule="auto"/>
        <w:ind w:firstLine="480" w:firstLineChars="200"/>
        <w:jc w:val="left"/>
        <w:rPr>
          <w:rFonts w:hint="eastAsia"/>
          <w:sz w:val="24"/>
        </w:rPr>
      </w:pPr>
      <w:r>
        <w:rPr>
          <w:rFonts w:hint="eastAsia"/>
          <w:sz w:val="24"/>
        </w:rPr>
        <w:t>甲方中途无故撤销或不履行合同时，所拨经费不得追回；乙方如无正当理由不履行合同，或非不可抗力的原因致使合同无法执行时，甲方有权收回所拨经费。</w:t>
      </w:r>
    </w:p>
    <w:p w14:paraId="1284D705">
      <w:pPr>
        <w:spacing w:line="360" w:lineRule="auto"/>
        <w:ind w:firstLine="480" w:firstLineChars="200"/>
        <w:jc w:val="left"/>
        <w:rPr>
          <w:bCs/>
          <w:sz w:val="24"/>
        </w:rPr>
      </w:pPr>
      <w:r>
        <w:rPr>
          <w:bCs/>
          <w:sz w:val="24"/>
        </w:rPr>
        <w:t>六、知识产权与保密义务</w:t>
      </w:r>
    </w:p>
    <w:p w14:paraId="4AD25EC9">
      <w:pPr>
        <w:spacing w:line="360" w:lineRule="auto"/>
        <w:ind w:firstLine="480" w:firstLineChars="200"/>
        <w:jc w:val="left"/>
        <w:rPr>
          <w:sz w:val="24"/>
        </w:rPr>
      </w:pPr>
      <w:r>
        <w:rPr>
          <w:sz w:val="24"/>
        </w:rPr>
        <w:t>1、本合同下成果的知识产权归甲乙双方共有，特别约定的除外。</w:t>
      </w:r>
    </w:p>
    <w:p w14:paraId="5FBD4023">
      <w:pPr>
        <w:spacing w:line="360" w:lineRule="auto"/>
        <w:ind w:firstLine="480" w:firstLineChars="200"/>
        <w:jc w:val="left"/>
        <w:rPr>
          <w:sz w:val="24"/>
        </w:rPr>
      </w:pPr>
      <w:r>
        <w:rPr>
          <w:sz w:val="24"/>
        </w:rPr>
        <w:t>2、乙方对本合同和与之有关的任何内容负有保密义务。本约定在本合同终止后继续有效。</w:t>
      </w:r>
    </w:p>
    <w:p w14:paraId="0A6D31F2">
      <w:pPr>
        <w:spacing w:line="360" w:lineRule="auto"/>
        <w:ind w:firstLine="480" w:firstLineChars="200"/>
        <w:jc w:val="left"/>
        <w:rPr>
          <w:sz w:val="24"/>
        </w:rPr>
      </w:pPr>
      <w:r>
        <w:rPr>
          <w:sz w:val="24"/>
        </w:rPr>
        <w:t>3、乙方不得将甲方提供的资料用于本合同以外的目的，并应在本合同履行完毕后及时向甲方归还或按照甲方指示销毁资料。</w:t>
      </w:r>
    </w:p>
    <w:p w14:paraId="16C01E73">
      <w:pPr>
        <w:spacing w:line="360" w:lineRule="auto"/>
        <w:ind w:firstLine="480" w:firstLineChars="200"/>
        <w:jc w:val="left"/>
        <w:rPr>
          <w:bCs/>
          <w:sz w:val="24"/>
        </w:rPr>
      </w:pPr>
      <w:r>
        <w:rPr>
          <w:bCs/>
          <w:sz w:val="24"/>
        </w:rPr>
        <w:t>七、合同的变更与解除</w:t>
      </w:r>
    </w:p>
    <w:p w14:paraId="077C9BF9">
      <w:pPr>
        <w:spacing w:line="360" w:lineRule="auto"/>
        <w:ind w:firstLine="480" w:firstLineChars="200"/>
        <w:jc w:val="left"/>
        <w:rPr>
          <w:sz w:val="24"/>
        </w:rPr>
      </w:pPr>
      <w:r>
        <w:rPr>
          <w:sz w:val="24"/>
        </w:rPr>
        <w:t>1、本合同履行过程中，因客观情况发生重大变化，经双方协商一致，可修改或终止本合同。</w:t>
      </w:r>
    </w:p>
    <w:p w14:paraId="5964D8D6">
      <w:pPr>
        <w:spacing w:line="360" w:lineRule="auto"/>
        <w:ind w:firstLine="480" w:firstLineChars="200"/>
        <w:jc w:val="left"/>
        <w:rPr>
          <w:sz w:val="24"/>
        </w:rPr>
      </w:pPr>
      <w:r>
        <w:rPr>
          <w:sz w:val="24"/>
        </w:rPr>
        <w:t>2、本合同的履行因不可抗力成为不必要或不可能的，可解除本合同或顺延本合同执行期限。</w:t>
      </w:r>
    </w:p>
    <w:p w14:paraId="633924D5">
      <w:pPr>
        <w:spacing w:line="360" w:lineRule="auto"/>
        <w:ind w:firstLine="480" w:firstLineChars="200"/>
        <w:jc w:val="left"/>
        <w:rPr>
          <w:sz w:val="24"/>
        </w:rPr>
      </w:pPr>
      <w:r>
        <w:rPr>
          <w:sz w:val="24"/>
        </w:rPr>
        <w:t>在不可抗力事件发生后，乙方应尽快以书面形式将不可抗力的情况和原因通知甲方，同时应尽实际可能继续履行合同义务，以及寻求采取合理的方案履行不受不可抗力影响的其他事项。</w:t>
      </w:r>
    </w:p>
    <w:p w14:paraId="58656903">
      <w:pPr>
        <w:spacing w:line="360" w:lineRule="auto"/>
        <w:ind w:firstLine="480" w:firstLineChars="200"/>
        <w:jc w:val="left"/>
        <w:rPr>
          <w:sz w:val="24"/>
        </w:rPr>
      </w:pPr>
      <w:r>
        <w:rPr>
          <w:sz w:val="24"/>
        </w:rPr>
        <w:t>3、本合同的变更必须由双方协商一致，并以书面形式确定。</w:t>
      </w:r>
    </w:p>
    <w:p w14:paraId="719912AA">
      <w:pPr>
        <w:spacing w:line="360" w:lineRule="auto"/>
        <w:ind w:firstLine="480" w:firstLineChars="200"/>
        <w:jc w:val="left"/>
        <w:rPr>
          <w:sz w:val="24"/>
        </w:rPr>
      </w:pPr>
      <w:r>
        <w:rPr>
          <w:sz w:val="24"/>
        </w:rPr>
        <w:t>4、双方确定，按以下约定承担各自的违约责任：</w:t>
      </w:r>
    </w:p>
    <w:p w14:paraId="597E67BC">
      <w:pPr>
        <w:spacing w:line="360" w:lineRule="auto"/>
        <w:ind w:firstLine="480" w:firstLineChars="200"/>
        <w:jc w:val="left"/>
        <w:rPr>
          <w:sz w:val="24"/>
        </w:rPr>
      </w:pPr>
      <w:r>
        <w:rPr>
          <w:rFonts w:hAnsi="宋体"/>
          <w:sz w:val="24"/>
        </w:rPr>
        <w:t>①</w:t>
      </w:r>
      <w:r>
        <w:rPr>
          <w:sz w:val="24"/>
        </w:rPr>
        <w:t>甲方未按合同规定的期限向乙方支付合同款的，每逾期1天甲方向乙方偿付欠款总额的5‰滞纳金，但累计滞纳金总额不超过欠款总额的5%。</w:t>
      </w:r>
    </w:p>
    <w:p w14:paraId="1A2F279A">
      <w:pPr>
        <w:spacing w:line="360" w:lineRule="auto"/>
        <w:ind w:firstLine="480" w:firstLineChars="200"/>
        <w:jc w:val="left"/>
        <w:rPr>
          <w:sz w:val="24"/>
        </w:rPr>
      </w:pPr>
      <w:r>
        <w:rPr>
          <w:rFonts w:hAnsi="宋体"/>
          <w:sz w:val="24"/>
        </w:rPr>
        <w:t>②</w:t>
      </w:r>
      <w:r>
        <w:rPr>
          <w:sz w:val="24"/>
        </w:rPr>
        <w:t>如乙方不能按期交付服务的，甲方有权不予支付剩余款项；同时乙方应向甲方支付合同总价5%的违约金。乙方在承担违约责任后，仍应继续履行合同规定的义务（甲方解除合同的除外）。甲方未能及时追究乙方的任何一项违约责任并不表明甲方放弃追究乙方该项或其他违约责任。</w:t>
      </w:r>
    </w:p>
    <w:p w14:paraId="5AE61E86">
      <w:pPr>
        <w:spacing w:line="360" w:lineRule="auto"/>
        <w:ind w:firstLine="480" w:firstLineChars="200"/>
        <w:jc w:val="left"/>
        <w:rPr>
          <w:bCs/>
          <w:sz w:val="24"/>
        </w:rPr>
      </w:pPr>
      <w:r>
        <w:rPr>
          <w:bCs/>
          <w:sz w:val="24"/>
        </w:rPr>
        <w:t>八、争议的解决办法</w:t>
      </w:r>
    </w:p>
    <w:p w14:paraId="0E36088D">
      <w:pPr>
        <w:spacing w:line="360" w:lineRule="auto"/>
        <w:ind w:firstLine="480" w:firstLineChars="200"/>
        <w:jc w:val="left"/>
        <w:rPr>
          <w:sz w:val="24"/>
        </w:rPr>
      </w:pPr>
      <w:r>
        <w:rPr>
          <w:sz w:val="24"/>
        </w:rPr>
        <w:t>本合同引起的或与本合同有关的有关争议，双方应协商解决，协商不成，可提交当地仲裁委员会或当地人民法院解决。</w:t>
      </w:r>
    </w:p>
    <w:p w14:paraId="6497EC1B">
      <w:pPr>
        <w:spacing w:line="360" w:lineRule="auto"/>
        <w:ind w:firstLine="480" w:firstLineChars="200"/>
        <w:jc w:val="left"/>
        <w:rPr>
          <w:bCs/>
          <w:sz w:val="24"/>
        </w:rPr>
      </w:pPr>
      <w:r>
        <w:rPr>
          <w:bCs/>
          <w:sz w:val="24"/>
        </w:rPr>
        <w:t>九、生效及其他</w:t>
      </w:r>
    </w:p>
    <w:p w14:paraId="0A2B4A3E">
      <w:pPr>
        <w:spacing w:line="360" w:lineRule="auto"/>
        <w:ind w:firstLine="480" w:firstLineChars="200"/>
        <w:jc w:val="left"/>
        <w:rPr>
          <w:sz w:val="24"/>
        </w:rPr>
      </w:pPr>
      <w:r>
        <w:rPr>
          <w:sz w:val="24"/>
        </w:rPr>
        <w:t>1、本合同自甲乙双方签字盖章之日起生效。</w:t>
      </w:r>
    </w:p>
    <w:p w14:paraId="3FFAD2EF">
      <w:pPr>
        <w:spacing w:line="360" w:lineRule="auto"/>
        <w:ind w:firstLine="480" w:firstLineChars="200"/>
        <w:jc w:val="left"/>
        <w:rPr>
          <w:sz w:val="24"/>
        </w:rPr>
      </w:pPr>
      <w:r>
        <w:rPr>
          <w:sz w:val="24"/>
        </w:rPr>
        <w:t>2、本合同一式陆份，双方各执叁份，每份具有同等法律效力。</w:t>
      </w:r>
    </w:p>
    <w:p w14:paraId="3E694DE1">
      <w:pPr>
        <w:spacing w:line="360" w:lineRule="auto"/>
        <w:ind w:firstLine="480" w:firstLineChars="200"/>
        <w:jc w:val="left"/>
        <w:rPr>
          <w:sz w:val="24"/>
        </w:rPr>
      </w:pPr>
      <w:r>
        <w:rPr>
          <w:sz w:val="24"/>
        </w:rPr>
        <w:t>3、合同期满后，如无违约行为，乙方享有优先续约权。</w:t>
      </w:r>
    </w:p>
    <w:p w14:paraId="4D523A7F">
      <w:pPr>
        <w:spacing w:line="360" w:lineRule="auto"/>
        <w:ind w:firstLine="482" w:firstLineChars="200"/>
        <w:jc w:val="left"/>
        <w:rPr>
          <w:b/>
          <w:bCs/>
          <w:sz w:val="24"/>
        </w:rPr>
        <w:sectPr>
          <w:footerReference r:id="rId4" w:type="default"/>
          <w:pgSz w:w="11906" w:h="16838"/>
          <w:pgMar w:top="1246" w:right="1106" w:bottom="1440" w:left="1531" w:header="851" w:footer="992" w:gutter="0"/>
          <w:cols w:space="720" w:num="1"/>
          <w:docGrid w:type="lines" w:linePitch="312" w:charSpace="0"/>
        </w:sectPr>
      </w:pPr>
    </w:p>
    <w:tbl>
      <w:tblPr>
        <w:tblStyle w:val="8"/>
        <w:tblpPr w:leftFromText="180" w:rightFromText="180" w:horzAnchor="margin" w:tblpXSpec="center" w:tblpY="526"/>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7"/>
        <w:gridCol w:w="3031"/>
        <w:gridCol w:w="2107"/>
        <w:gridCol w:w="1472"/>
      </w:tblGrid>
      <w:tr w14:paraId="2076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0" w:hRule="atLeast"/>
        </w:trPr>
        <w:tc>
          <w:tcPr>
            <w:tcW w:w="1101" w:type="dxa"/>
            <w:vMerge w:val="restart"/>
            <w:noWrap w:val="0"/>
            <w:textDirection w:val="tbRlV"/>
            <w:vAlign w:val="center"/>
          </w:tcPr>
          <w:p w14:paraId="77E62600">
            <w:pPr>
              <w:ind w:left="113" w:right="113"/>
              <w:jc w:val="center"/>
              <w:rPr>
                <w:sz w:val="24"/>
              </w:rPr>
            </w:pPr>
            <w:r>
              <w:rPr>
                <w:rFonts w:hAnsi="宋体"/>
                <w:sz w:val="24"/>
              </w:rPr>
              <w:t>委</w:t>
            </w:r>
            <w:r>
              <w:rPr>
                <w:sz w:val="24"/>
              </w:rPr>
              <w:t xml:space="preserve">  </w:t>
            </w:r>
            <w:r>
              <w:rPr>
                <w:rFonts w:hAnsi="宋体"/>
                <w:sz w:val="24"/>
              </w:rPr>
              <w:t>托</w:t>
            </w:r>
            <w:r>
              <w:rPr>
                <w:sz w:val="24"/>
              </w:rPr>
              <w:t xml:space="preserve">  </w:t>
            </w:r>
            <w:r>
              <w:rPr>
                <w:rFonts w:hAnsi="宋体"/>
                <w:sz w:val="24"/>
              </w:rPr>
              <w:t>方（甲方）</w:t>
            </w:r>
          </w:p>
        </w:tc>
        <w:tc>
          <w:tcPr>
            <w:tcW w:w="1417" w:type="dxa"/>
            <w:noWrap w:val="0"/>
            <w:vAlign w:val="center"/>
          </w:tcPr>
          <w:p w14:paraId="636FEDFE">
            <w:pPr>
              <w:rPr>
                <w:sz w:val="24"/>
              </w:rPr>
            </w:pPr>
            <w:r>
              <w:rPr>
                <w:rFonts w:hAnsi="宋体"/>
                <w:sz w:val="24"/>
              </w:rPr>
              <w:t>单位名称</w:t>
            </w:r>
          </w:p>
        </w:tc>
        <w:tc>
          <w:tcPr>
            <w:tcW w:w="3031" w:type="dxa"/>
            <w:noWrap w:val="0"/>
            <w:vAlign w:val="center"/>
          </w:tcPr>
          <w:p w14:paraId="63C0AC6E">
            <w:pPr>
              <w:jc w:val="center"/>
              <w:rPr>
                <w:b/>
                <w:sz w:val="24"/>
              </w:rPr>
            </w:pPr>
          </w:p>
        </w:tc>
        <w:tc>
          <w:tcPr>
            <w:tcW w:w="2107" w:type="dxa"/>
            <w:noWrap w:val="0"/>
            <w:vAlign w:val="center"/>
          </w:tcPr>
          <w:p w14:paraId="3658EB0E">
            <w:pPr>
              <w:jc w:val="center"/>
              <w:rPr>
                <w:sz w:val="24"/>
              </w:rPr>
            </w:pPr>
            <w:r>
              <w:rPr>
                <w:rFonts w:hAnsi="宋体"/>
                <w:sz w:val="24"/>
              </w:rPr>
              <w:t>法定代表人或委托代理人</w:t>
            </w:r>
          </w:p>
        </w:tc>
        <w:tc>
          <w:tcPr>
            <w:tcW w:w="1472" w:type="dxa"/>
            <w:noWrap w:val="0"/>
            <w:vAlign w:val="center"/>
          </w:tcPr>
          <w:p w14:paraId="47DECC85">
            <w:pPr>
              <w:rPr>
                <w:sz w:val="24"/>
              </w:rPr>
            </w:pPr>
          </w:p>
        </w:tc>
      </w:tr>
      <w:tr w14:paraId="2F34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Merge w:val="continue"/>
            <w:noWrap w:val="0"/>
            <w:vAlign w:val="top"/>
          </w:tcPr>
          <w:p w14:paraId="2D5E054A">
            <w:pPr>
              <w:rPr>
                <w:sz w:val="24"/>
              </w:rPr>
            </w:pPr>
          </w:p>
        </w:tc>
        <w:tc>
          <w:tcPr>
            <w:tcW w:w="1417" w:type="dxa"/>
            <w:noWrap w:val="0"/>
            <w:vAlign w:val="center"/>
          </w:tcPr>
          <w:p w14:paraId="3FBE8631">
            <w:pPr>
              <w:rPr>
                <w:sz w:val="24"/>
              </w:rPr>
            </w:pPr>
            <w:r>
              <w:rPr>
                <w:rFonts w:hAnsi="宋体"/>
                <w:sz w:val="24"/>
              </w:rPr>
              <w:t>详细地址</w:t>
            </w:r>
          </w:p>
        </w:tc>
        <w:tc>
          <w:tcPr>
            <w:tcW w:w="3031" w:type="dxa"/>
            <w:noWrap w:val="0"/>
            <w:vAlign w:val="center"/>
          </w:tcPr>
          <w:p w14:paraId="13988F86">
            <w:pPr>
              <w:jc w:val="center"/>
              <w:rPr>
                <w:sz w:val="24"/>
              </w:rPr>
            </w:pPr>
          </w:p>
        </w:tc>
        <w:tc>
          <w:tcPr>
            <w:tcW w:w="2107" w:type="dxa"/>
            <w:noWrap w:val="0"/>
            <w:vAlign w:val="center"/>
          </w:tcPr>
          <w:p w14:paraId="4A357364">
            <w:pPr>
              <w:jc w:val="center"/>
              <w:rPr>
                <w:sz w:val="24"/>
              </w:rPr>
            </w:pPr>
            <w:r>
              <w:rPr>
                <w:rFonts w:hAnsi="宋体"/>
                <w:sz w:val="24"/>
              </w:rPr>
              <w:t>负责人</w:t>
            </w:r>
          </w:p>
        </w:tc>
        <w:tc>
          <w:tcPr>
            <w:tcW w:w="1472" w:type="dxa"/>
            <w:noWrap w:val="0"/>
            <w:vAlign w:val="center"/>
          </w:tcPr>
          <w:p w14:paraId="5529340F">
            <w:pPr>
              <w:rPr>
                <w:sz w:val="24"/>
              </w:rPr>
            </w:pPr>
          </w:p>
        </w:tc>
      </w:tr>
      <w:tr w14:paraId="28FB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Merge w:val="continue"/>
            <w:noWrap w:val="0"/>
            <w:vAlign w:val="top"/>
          </w:tcPr>
          <w:p w14:paraId="4F146108">
            <w:pPr>
              <w:rPr>
                <w:sz w:val="24"/>
              </w:rPr>
            </w:pPr>
          </w:p>
        </w:tc>
        <w:tc>
          <w:tcPr>
            <w:tcW w:w="1417" w:type="dxa"/>
            <w:noWrap w:val="0"/>
            <w:vAlign w:val="center"/>
          </w:tcPr>
          <w:p w14:paraId="2709CC9E">
            <w:pPr>
              <w:rPr>
                <w:sz w:val="24"/>
              </w:rPr>
            </w:pPr>
            <w:r>
              <w:rPr>
                <w:rFonts w:hAnsi="宋体"/>
                <w:sz w:val="24"/>
              </w:rPr>
              <w:t>开户银行</w:t>
            </w:r>
          </w:p>
        </w:tc>
        <w:tc>
          <w:tcPr>
            <w:tcW w:w="3031" w:type="dxa"/>
            <w:noWrap w:val="0"/>
            <w:vAlign w:val="center"/>
          </w:tcPr>
          <w:p w14:paraId="388C0F2B">
            <w:pPr>
              <w:rPr>
                <w:sz w:val="24"/>
              </w:rPr>
            </w:pPr>
          </w:p>
        </w:tc>
        <w:tc>
          <w:tcPr>
            <w:tcW w:w="3579" w:type="dxa"/>
            <w:gridSpan w:val="2"/>
            <w:vMerge w:val="restart"/>
            <w:noWrap w:val="0"/>
            <w:vAlign w:val="top"/>
          </w:tcPr>
          <w:p w14:paraId="1A3C73BC">
            <w:pPr>
              <w:rPr>
                <w:sz w:val="24"/>
              </w:rPr>
            </w:pPr>
          </w:p>
          <w:p w14:paraId="77984E61">
            <w:pPr>
              <w:rPr>
                <w:sz w:val="24"/>
              </w:rPr>
            </w:pPr>
          </w:p>
          <w:p w14:paraId="7BEDD326">
            <w:pPr>
              <w:rPr>
                <w:sz w:val="24"/>
              </w:rPr>
            </w:pPr>
          </w:p>
          <w:p w14:paraId="16FDBFBA">
            <w:pPr>
              <w:rPr>
                <w:sz w:val="24"/>
              </w:rPr>
            </w:pPr>
            <w:r>
              <w:rPr>
                <w:sz w:val="24"/>
              </w:rPr>
              <w:t xml:space="preserve">         </w:t>
            </w:r>
            <w:r>
              <w:rPr>
                <w:rFonts w:hAnsi="宋体"/>
                <w:sz w:val="24"/>
              </w:rPr>
              <w:t>（单位盖章）</w:t>
            </w:r>
          </w:p>
          <w:p w14:paraId="6971D290">
            <w:pPr>
              <w:jc w:val="right"/>
              <w:rPr>
                <w:sz w:val="24"/>
              </w:rPr>
            </w:pP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14:paraId="4623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Merge w:val="continue"/>
            <w:noWrap w:val="0"/>
            <w:vAlign w:val="top"/>
          </w:tcPr>
          <w:p w14:paraId="417305A4">
            <w:pPr>
              <w:rPr>
                <w:sz w:val="24"/>
              </w:rPr>
            </w:pPr>
          </w:p>
        </w:tc>
        <w:tc>
          <w:tcPr>
            <w:tcW w:w="1417" w:type="dxa"/>
            <w:noWrap w:val="0"/>
            <w:vAlign w:val="center"/>
          </w:tcPr>
          <w:p w14:paraId="123A47D3">
            <w:pPr>
              <w:rPr>
                <w:sz w:val="24"/>
              </w:rPr>
            </w:pPr>
            <w:r>
              <w:rPr>
                <w:rFonts w:hAnsi="宋体"/>
                <w:sz w:val="24"/>
              </w:rPr>
              <w:t>账</w:t>
            </w:r>
            <w:r>
              <w:rPr>
                <w:sz w:val="24"/>
              </w:rPr>
              <w:t xml:space="preserve">    </w:t>
            </w:r>
            <w:r>
              <w:rPr>
                <w:rFonts w:hAnsi="宋体"/>
                <w:sz w:val="24"/>
              </w:rPr>
              <w:t>号</w:t>
            </w:r>
          </w:p>
        </w:tc>
        <w:tc>
          <w:tcPr>
            <w:tcW w:w="3031" w:type="dxa"/>
            <w:noWrap w:val="0"/>
            <w:vAlign w:val="center"/>
          </w:tcPr>
          <w:p w14:paraId="618B1005">
            <w:pPr>
              <w:rPr>
                <w:sz w:val="24"/>
              </w:rPr>
            </w:pPr>
          </w:p>
        </w:tc>
        <w:tc>
          <w:tcPr>
            <w:tcW w:w="3579" w:type="dxa"/>
            <w:gridSpan w:val="2"/>
            <w:vMerge w:val="continue"/>
            <w:noWrap w:val="0"/>
            <w:vAlign w:val="top"/>
          </w:tcPr>
          <w:p w14:paraId="675FD222">
            <w:pPr>
              <w:rPr>
                <w:sz w:val="24"/>
              </w:rPr>
            </w:pPr>
          </w:p>
        </w:tc>
      </w:tr>
      <w:tr w14:paraId="7367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Merge w:val="continue"/>
            <w:noWrap w:val="0"/>
            <w:vAlign w:val="top"/>
          </w:tcPr>
          <w:p w14:paraId="077516FB">
            <w:pPr>
              <w:rPr>
                <w:sz w:val="24"/>
              </w:rPr>
            </w:pPr>
          </w:p>
        </w:tc>
        <w:tc>
          <w:tcPr>
            <w:tcW w:w="1417" w:type="dxa"/>
            <w:noWrap w:val="0"/>
            <w:vAlign w:val="center"/>
          </w:tcPr>
          <w:p w14:paraId="52D24A98">
            <w:pPr>
              <w:rPr>
                <w:sz w:val="24"/>
              </w:rPr>
            </w:pPr>
            <w:r>
              <w:rPr>
                <w:rFonts w:hAnsi="宋体"/>
                <w:sz w:val="24"/>
              </w:rPr>
              <w:t>电</w:t>
            </w:r>
            <w:r>
              <w:rPr>
                <w:sz w:val="24"/>
              </w:rPr>
              <w:t xml:space="preserve">    </w:t>
            </w:r>
            <w:r>
              <w:rPr>
                <w:rFonts w:hAnsi="宋体"/>
                <w:sz w:val="24"/>
              </w:rPr>
              <w:t>话</w:t>
            </w:r>
          </w:p>
        </w:tc>
        <w:tc>
          <w:tcPr>
            <w:tcW w:w="3031" w:type="dxa"/>
            <w:noWrap w:val="0"/>
            <w:vAlign w:val="center"/>
          </w:tcPr>
          <w:p w14:paraId="6C3FA3B1">
            <w:pPr>
              <w:rPr>
                <w:sz w:val="24"/>
              </w:rPr>
            </w:pPr>
          </w:p>
        </w:tc>
        <w:tc>
          <w:tcPr>
            <w:tcW w:w="3579" w:type="dxa"/>
            <w:gridSpan w:val="2"/>
            <w:vMerge w:val="continue"/>
            <w:noWrap w:val="0"/>
            <w:vAlign w:val="top"/>
          </w:tcPr>
          <w:p w14:paraId="0D978EF6">
            <w:pPr>
              <w:rPr>
                <w:sz w:val="24"/>
              </w:rPr>
            </w:pPr>
          </w:p>
        </w:tc>
      </w:tr>
      <w:tr w14:paraId="583F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Merge w:val="restart"/>
            <w:noWrap w:val="0"/>
            <w:textDirection w:val="tbRlV"/>
            <w:vAlign w:val="center"/>
          </w:tcPr>
          <w:p w14:paraId="64FE264A">
            <w:pPr>
              <w:ind w:left="113" w:right="113"/>
              <w:jc w:val="center"/>
              <w:rPr>
                <w:sz w:val="24"/>
              </w:rPr>
            </w:pPr>
            <w:r>
              <w:rPr>
                <w:rFonts w:hAnsi="宋体"/>
                <w:sz w:val="24"/>
              </w:rPr>
              <w:t>受</w:t>
            </w:r>
            <w:r>
              <w:rPr>
                <w:sz w:val="24"/>
              </w:rPr>
              <w:t xml:space="preserve">  </w:t>
            </w:r>
            <w:r>
              <w:rPr>
                <w:rFonts w:hAnsi="宋体"/>
                <w:sz w:val="24"/>
              </w:rPr>
              <w:t>托</w:t>
            </w:r>
            <w:r>
              <w:rPr>
                <w:sz w:val="24"/>
              </w:rPr>
              <w:t xml:space="preserve">  </w:t>
            </w:r>
            <w:r>
              <w:rPr>
                <w:rFonts w:hAnsi="宋体"/>
                <w:sz w:val="24"/>
              </w:rPr>
              <w:t>方（乙方）</w:t>
            </w:r>
          </w:p>
        </w:tc>
        <w:tc>
          <w:tcPr>
            <w:tcW w:w="1417" w:type="dxa"/>
            <w:noWrap w:val="0"/>
            <w:vAlign w:val="center"/>
          </w:tcPr>
          <w:p w14:paraId="19B8069E">
            <w:pPr>
              <w:rPr>
                <w:sz w:val="24"/>
              </w:rPr>
            </w:pPr>
            <w:r>
              <w:rPr>
                <w:rFonts w:hAnsi="宋体"/>
                <w:sz w:val="24"/>
              </w:rPr>
              <w:t>单位名称</w:t>
            </w:r>
          </w:p>
        </w:tc>
        <w:tc>
          <w:tcPr>
            <w:tcW w:w="3031" w:type="dxa"/>
            <w:noWrap w:val="0"/>
            <w:vAlign w:val="center"/>
          </w:tcPr>
          <w:p w14:paraId="4FB38137">
            <w:pPr>
              <w:jc w:val="left"/>
              <w:rPr>
                <w:sz w:val="24"/>
              </w:rPr>
            </w:pPr>
          </w:p>
        </w:tc>
        <w:tc>
          <w:tcPr>
            <w:tcW w:w="2107" w:type="dxa"/>
            <w:noWrap w:val="0"/>
            <w:vAlign w:val="center"/>
          </w:tcPr>
          <w:p w14:paraId="3D1F10B6">
            <w:pPr>
              <w:jc w:val="center"/>
              <w:rPr>
                <w:sz w:val="24"/>
              </w:rPr>
            </w:pPr>
            <w:r>
              <w:rPr>
                <w:rFonts w:hAnsi="宋体"/>
                <w:sz w:val="24"/>
              </w:rPr>
              <w:t>法定代表人或委托代理人</w:t>
            </w:r>
          </w:p>
        </w:tc>
        <w:tc>
          <w:tcPr>
            <w:tcW w:w="1472" w:type="dxa"/>
            <w:noWrap w:val="0"/>
            <w:vAlign w:val="center"/>
          </w:tcPr>
          <w:p w14:paraId="3F21190F">
            <w:pPr>
              <w:rPr>
                <w:sz w:val="24"/>
              </w:rPr>
            </w:pPr>
          </w:p>
        </w:tc>
      </w:tr>
      <w:tr w14:paraId="74C8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Merge w:val="continue"/>
            <w:noWrap w:val="0"/>
            <w:vAlign w:val="top"/>
          </w:tcPr>
          <w:p w14:paraId="1C97FB81">
            <w:pPr>
              <w:rPr>
                <w:sz w:val="24"/>
              </w:rPr>
            </w:pPr>
          </w:p>
        </w:tc>
        <w:tc>
          <w:tcPr>
            <w:tcW w:w="1417" w:type="dxa"/>
            <w:noWrap w:val="0"/>
            <w:vAlign w:val="center"/>
          </w:tcPr>
          <w:p w14:paraId="37CB27A4">
            <w:pPr>
              <w:rPr>
                <w:sz w:val="24"/>
              </w:rPr>
            </w:pPr>
            <w:r>
              <w:rPr>
                <w:rFonts w:hAnsi="宋体"/>
                <w:sz w:val="24"/>
              </w:rPr>
              <w:t>详细地址</w:t>
            </w:r>
          </w:p>
        </w:tc>
        <w:tc>
          <w:tcPr>
            <w:tcW w:w="3031" w:type="dxa"/>
            <w:noWrap w:val="0"/>
            <w:vAlign w:val="center"/>
          </w:tcPr>
          <w:p w14:paraId="1B0EDBF4">
            <w:pPr>
              <w:rPr>
                <w:sz w:val="24"/>
              </w:rPr>
            </w:pPr>
          </w:p>
        </w:tc>
        <w:tc>
          <w:tcPr>
            <w:tcW w:w="2107" w:type="dxa"/>
            <w:noWrap w:val="0"/>
            <w:vAlign w:val="center"/>
          </w:tcPr>
          <w:p w14:paraId="74613989">
            <w:pPr>
              <w:jc w:val="center"/>
              <w:rPr>
                <w:sz w:val="24"/>
              </w:rPr>
            </w:pPr>
            <w:r>
              <w:rPr>
                <w:rFonts w:hAnsi="宋体"/>
                <w:sz w:val="24"/>
              </w:rPr>
              <w:t>项</w:t>
            </w:r>
            <w:r>
              <w:rPr>
                <w:sz w:val="24"/>
              </w:rPr>
              <w:t xml:space="preserve">  </w:t>
            </w:r>
            <w:r>
              <w:rPr>
                <w:rFonts w:hAnsi="宋体"/>
                <w:sz w:val="24"/>
              </w:rPr>
              <w:t>目</w:t>
            </w:r>
          </w:p>
          <w:p w14:paraId="3451FD58">
            <w:pPr>
              <w:jc w:val="center"/>
              <w:rPr>
                <w:sz w:val="24"/>
              </w:rPr>
            </w:pPr>
            <w:r>
              <w:rPr>
                <w:rFonts w:hAnsi="宋体"/>
                <w:sz w:val="24"/>
              </w:rPr>
              <w:t>负责人</w:t>
            </w:r>
          </w:p>
        </w:tc>
        <w:tc>
          <w:tcPr>
            <w:tcW w:w="1472" w:type="dxa"/>
            <w:noWrap w:val="0"/>
            <w:vAlign w:val="center"/>
          </w:tcPr>
          <w:p w14:paraId="2564AD8A">
            <w:pPr>
              <w:rPr>
                <w:sz w:val="24"/>
              </w:rPr>
            </w:pPr>
          </w:p>
        </w:tc>
      </w:tr>
      <w:tr w14:paraId="1828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Merge w:val="continue"/>
            <w:noWrap w:val="0"/>
            <w:vAlign w:val="top"/>
          </w:tcPr>
          <w:p w14:paraId="3AE1D0A9">
            <w:pPr>
              <w:rPr>
                <w:sz w:val="24"/>
              </w:rPr>
            </w:pPr>
          </w:p>
        </w:tc>
        <w:tc>
          <w:tcPr>
            <w:tcW w:w="1417" w:type="dxa"/>
            <w:noWrap w:val="0"/>
            <w:vAlign w:val="center"/>
          </w:tcPr>
          <w:p w14:paraId="41B68BA6">
            <w:pPr>
              <w:rPr>
                <w:sz w:val="24"/>
              </w:rPr>
            </w:pPr>
            <w:r>
              <w:rPr>
                <w:rFonts w:hAnsi="宋体"/>
                <w:sz w:val="24"/>
              </w:rPr>
              <w:t>开户银行</w:t>
            </w:r>
          </w:p>
        </w:tc>
        <w:tc>
          <w:tcPr>
            <w:tcW w:w="3031" w:type="dxa"/>
            <w:noWrap w:val="0"/>
            <w:vAlign w:val="center"/>
          </w:tcPr>
          <w:p w14:paraId="4E52AC96">
            <w:pPr>
              <w:rPr>
                <w:sz w:val="24"/>
              </w:rPr>
            </w:pPr>
          </w:p>
        </w:tc>
        <w:tc>
          <w:tcPr>
            <w:tcW w:w="3579" w:type="dxa"/>
            <w:gridSpan w:val="2"/>
            <w:vMerge w:val="restart"/>
            <w:noWrap w:val="0"/>
            <w:vAlign w:val="top"/>
          </w:tcPr>
          <w:p w14:paraId="192AFDE1">
            <w:pPr>
              <w:rPr>
                <w:sz w:val="24"/>
              </w:rPr>
            </w:pPr>
          </w:p>
          <w:p w14:paraId="292687B2">
            <w:pPr>
              <w:rPr>
                <w:sz w:val="24"/>
              </w:rPr>
            </w:pPr>
          </w:p>
          <w:p w14:paraId="46BE0A3E">
            <w:pPr>
              <w:rPr>
                <w:sz w:val="24"/>
              </w:rPr>
            </w:pPr>
          </w:p>
          <w:p w14:paraId="65FCBC46">
            <w:pPr>
              <w:rPr>
                <w:sz w:val="24"/>
              </w:rPr>
            </w:pPr>
            <w:r>
              <w:rPr>
                <w:sz w:val="24"/>
              </w:rPr>
              <w:t xml:space="preserve">         </w:t>
            </w:r>
            <w:r>
              <w:rPr>
                <w:rFonts w:hAnsi="宋体"/>
                <w:sz w:val="24"/>
              </w:rPr>
              <w:t>（单位盖章）</w:t>
            </w:r>
          </w:p>
          <w:p w14:paraId="5F838AB5">
            <w:pPr>
              <w:jc w:val="right"/>
              <w:rPr>
                <w:sz w:val="24"/>
              </w:rPr>
            </w:pP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14:paraId="6F40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Merge w:val="continue"/>
            <w:noWrap w:val="0"/>
            <w:vAlign w:val="top"/>
          </w:tcPr>
          <w:p w14:paraId="07BA86AE">
            <w:pPr>
              <w:rPr>
                <w:sz w:val="24"/>
              </w:rPr>
            </w:pPr>
          </w:p>
        </w:tc>
        <w:tc>
          <w:tcPr>
            <w:tcW w:w="1417" w:type="dxa"/>
            <w:noWrap w:val="0"/>
            <w:vAlign w:val="center"/>
          </w:tcPr>
          <w:p w14:paraId="42FB3360">
            <w:pPr>
              <w:rPr>
                <w:sz w:val="24"/>
              </w:rPr>
            </w:pPr>
            <w:r>
              <w:rPr>
                <w:rFonts w:hAnsi="宋体"/>
                <w:sz w:val="24"/>
              </w:rPr>
              <w:t>账</w:t>
            </w:r>
            <w:r>
              <w:rPr>
                <w:sz w:val="24"/>
              </w:rPr>
              <w:t xml:space="preserve">    </w:t>
            </w:r>
            <w:r>
              <w:rPr>
                <w:rFonts w:hAnsi="宋体"/>
                <w:sz w:val="24"/>
              </w:rPr>
              <w:t>号</w:t>
            </w:r>
          </w:p>
        </w:tc>
        <w:tc>
          <w:tcPr>
            <w:tcW w:w="3031" w:type="dxa"/>
            <w:noWrap w:val="0"/>
            <w:vAlign w:val="center"/>
          </w:tcPr>
          <w:p w14:paraId="4A2D4EB6">
            <w:pPr>
              <w:rPr>
                <w:sz w:val="24"/>
              </w:rPr>
            </w:pPr>
          </w:p>
        </w:tc>
        <w:tc>
          <w:tcPr>
            <w:tcW w:w="3579" w:type="dxa"/>
            <w:gridSpan w:val="2"/>
            <w:vMerge w:val="continue"/>
            <w:noWrap w:val="0"/>
            <w:vAlign w:val="top"/>
          </w:tcPr>
          <w:p w14:paraId="1FABCD8C">
            <w:pPr>
              <w:rPr>
                <w:sz w:val="24"/>
              </w:rPr>
            </w:pPr>
          </w:p>
        </w:tc>
      </w:tr>
      <w:tr w14:paraId="64C4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101" w:type="dxa"/>
            <w:vMerge w:val="continue"/>
            <w:noWrap w:val="0"/>
            <w:vAlign w:val="top"/>
          </w:tcPr>
          <w:p w14:paraId="5910F699">
            <w:pPr>
              <w:rPr>
                <w:sz w:val="24"/>
              </w:rPr>
            </w:pPr>
          </w:p>
        </w:tc>
        <w:tc>
          <w:tcPr>
            <w:tcW w:w="1417" w:type="dxa"/>
            <w:noWrap w:val="0"/>
            <w:vAlign w:val="center"/>
          </w:tcPr>
          <w:p w14:paraId="79FCB41A">
            <w:pPr>
              <w:rPr>
                <w:sz w:val="24"/>
              </w:rPr>
            </w:pPr>
            <w:r>
              <w:rPr>
                <w:rFonts w:hAnsi="宋体"/>
                <w:sz w:val="24"/>
              </w:rPr>
              <w:t>电</w:t>
            </w:r>
            <w:r>
              <w:rPr>
                <w:sz w:val="24"/>
              </w:rPr>
              <w:t xml:space="preserve">    </w:t>
            </w:r>
            <w:r>
              <w:rPr>
                <w:rFonts w:hAnsi="宋体"/>
                <w:sz w:val="24"/>
              </w:rPr>
              <w:t>话</w:t>
            </w:r>
          </w:p>
        </w:tc>
        <w:tc>
          <w:tcPr>
            <w:tcW w:w="3031" w:type="dxa"/>
            <w:noWrap w:val="0"/>
            <w:vAlign w:val="center"/>
          </w:tcPr>
          <w:p w14:paraId="3ADBC77B">
            <w:pPr>
              <w:rPr>
                <w:sz w:val="24"/>
              </w:rPr>
            </w:pPr>
          </w:p>
        </w:tc>
        <w:tc>
          <w:tcPr>
            <w:tcW w:w="3579" w:type="dxa"/>
            <w:gridSpan w:val="2"/>
            <w:vMerge w:val="continue"/>
            <w:noWrap w:val="0"/>
            <w:vAlign w:val="top"/>
          </w:tcPr>
          <w:p w14:paraId="193FEB35">
            <w:pPr>
              <w:rPr>
                <w:sz w:val="24"/>
              </w:rPr>
            </w:pPr>
          </w:p>
        </w:tc>
      </w:tr>
    </w:tbl>
    <w:p w14:paraId="7DC6A257">
      <w:pPr>
        <w:spacing w:line="480" w:lineRule="exact"/>
        <w:rPr>
          <w:sz w:val="32"/>
          <w:szCs w:val="32"/>
        </w:rPr>
      </w:pPr>
      <w:r>
        <w:rPr>
          <w:rFonts w:hAnsi="宋体"/>
          <w:sz w:val="32"/>
          <w:szCs w:val="32"/>
        </w:rPr>
        <w:t>签署页：</w:t>
      </w:r>
    </w:p>
    <w:p w14:paraId="70794B47">
      <w:pPr>
        <w:autoSpaceDE w:val="0"/>
        <w:autoSpaceDN w:val="0"/>
        <w:adjustRightInd w:val="0"/>
        <w:spacing w:line="520" w:lineRule="exact"/>
        <w:rPr>
          <w:b/>
          <w:kern w:val="0"/>
          <w:sz w:val="24"/>
        </w:rPr>
      </w:pPr>
      <w:r>
        <w:rPr>
          <w:rFonts w:hAnsi="宋体"/>
          <w:b/>
          <w:bCs/>
          <w:szCs w:val="21"/>
        </w:rPr>
        <w:t>招标人声明：本合同标的经招标代理机构依法定程序采购，合同主要条款内容与招投标文件的内容一致</w:t>
      </w:r>
      <w:r>
        <w:rPr>
          <w:rFonts w:hAnsi="宋体"/>
          <w:szCs w:val="21"/>
        </w:rPr>
        <w:t>。</w:t>
      </w:r>
    </w:p>
    <w:p w14:paraId="500BD7A7">
      <w:pPr>
        <w:pStyle w:val="2"/>
        <w:ind w:firstLine="420"/>
      </w:pPr>
    </w:p>
    <w:p w14:paraId="598F9A0C">
      <w:pPr>
        <w:snapToGrid w:val="0"/>
        <w:spacing w:line="300" w:lineRule="auto"/>
        <w:jc w:val="center"/>
        <w:outlineLvl w:val="0"/>
        <w:rPr>
          <w:b/>
          <w:color w:val="000000"/>
          <w:sz w:val="36"/>
          <w:szCs w:val="36"/>
        </w:rPr>
      </w:pPr>
      <w:r>
        <w:rPr>
          <w:b/>
          <w:color w:val="000000"/>
          <w:sz w:val="36"/>
          <w:szCs w:val="36"/>
        </w:rPr>
        <w:br w:type="page"/>
      </w:r>
      <w:r>
        <w:rPr>
          <w:rFonts w:hAnsi="宋体"/>
          <w:b/>
          <w:color w:val="000000"/>
          <w:sz w:val="36"/>
          <w:szCs w:val="36"/>
        </w:rPr>
        <w:t>第六部分</w:t>
      </w:r>
      <w:r>
        <w:rPr>
          <w:b/>
          <w:color w:val="000000"/>
          <w:sz w:val="36"/>
          <w:szCs w:val="36"/>
        </w:rPr>
        <w:t xml:space="preserve">  </w:t>
      </w:r>
      <w:r>
        <w:rPr>
          <w:rFonts w:hAnsi="宋体"/>
          <w:b/>
          <w:color w:val="000000"/>
          <w:sz w:val="36"/>
          <w:szCs w:val="36"/>
        </w:rPr>
        <w:t>质疑提出和处理</w:t>
      </w:r>
    </w:p>
    <w:p w14:paraId="127D9193">
      <w:pPr>
        <w:autoSpaceDE w:val="0"/>
        <w:autoSpaceDN w:val="0"/>
        <w:adjustRightInd w:val="0"/>
        <w:snapToGrid w:val="0"/>
        <w:spacing w:line="360" w:lineRule="auto"/>
        <w:ind w:firstLine="482" w:firstLineChars="200"/>
        <w:contextualSpacing/>
        <w:jc w:val="left"/>
        <w:rPr>
          <w:b/>
          <w:color w:val="000000"/>
          <w:kern w:val="0"/>
          <w:sz w:val="24"/>
        </w:rPr>
      </w:pPr>
      <w:r>
        <w:rPr>
          <w:b/>
          <w:color w:val="000000"/>
          <w:kern w:val="0"/>
          <w:sz w:val="24"/>
        </w:rPr>
        <w:t>一、质疑的提出</w:t>
      </w:r>
    </w:p>
    <w:p w14:paraId="491BC71B">
      <w:pPr>
        <w:autoSpaceDE w:val="0"/>
        <w:autoSpaceDN w:val="0"/>
        <w:adjustRightInd w:val="0"/>
        <w:snapToGrid w:val="0"/>
        <w:spacing w:line="360" w:lineRule="auto"/>
        <w:ind w:firstLine="480" w:firstLineChars="200"/>
        <w:contextualSpacing/>
        <w:jc w:val="left"/>
        <w:rPr>
          <w:color w:val="000000"/>
          <w:sz w:val="24"/>
        </w:rPr>
      </w:pPr>
      <w:r>
        <w:rPr>
          <w:color w:val="000000"/>
          <w:sz w:val="24"/>
        </w:rPr>
        <w:t xml:space="preserve">(一)质疑人的身份要求 </w:t>
      </w:r>
    </w:p>
    <w:p w14:paraId="3C6AA938">
      <w:pPr>
        <w:autoSpaceDE w:val="0"/>
        <w:autoSpaceDN w:val="0"/>
        <w:adjustRightInd w:val="0"/>
        <w:snapToGrid w:val="0"/>
        <w:spacing w:line="360" w:lineRule="auto"/>
        <w:ind w:firstLine="480" w:firstLineChars="200"/>
        <w:contextualSpacing/>
        <w:jc w:val="left"/>
        <w:rPr>
          <w:color w:val="000000"/>
          <w:sz w:val="24"/>
        </w:rPr>
      </w:pPr>
      <w:r>
        <w:rPr>
          <w:color w:val="000000"/>
          <w:sz w:val="24"/>
        </w:rPr>
        <w:t>1.质疑人必须是直接参加本次采购活动的当事人。</w:t>
      </w:r>
    </w:p>
    <w:p w14:paraId="3A049FB5">
      <w:pPr>
        <w:autoSpaceDE w:val="0"/>
        <w:autoSpaceDN w:val="0"/>
        <w:adjustRightInd w:val="0"/>
        <w:snapToGrid w:val="0"/>
        <w:spacing w:line="360" w:lineRule="auto"/>
        <w:ind w:firstLine="480" w:firstLineChars="200"/>
        <w:contextualSpacing/>
        <w:jc w:val="left"/>
        <w:rPr>
          <w:color w:val="000000"/>
          <w:sz w:val="24"/>
        </w:rPr>
      </w:pPr>
      <w:r>
        <w:rPr>
          <w:color w:val="000000"/>
          <w:sz w:val="24"/>
        </w:rPr>
        <w:t>2.未参加投标活动的供应商或在投标活动中自身权益未受到损害的供应商所提出的质疑不予受理。</w:t>
      </w:r>
    </w:p>
    <w:p w14:paraId="393DAECC">
      <w:pPr>
        <w:autoSpaceDE w:val="0"/>
        <w:autoSpaceDN w:val="0"/>
        <w:adjustRightInd w:val="0"/>
        <w:snapToGrid w:val="0"/>
        <w:spacing w:line="360" w:lineRule="auto"/>
        <w:ind w:firstLine="480" w:firstLineChars="200"/>
        <w:contextualSpacing/>
        <w:jc w:val="left"/>
        <w:rPr>
          <w:color w:val="000000"/>
          <w:sz w:val="24"/>
        </w:rPr>
      </w:pPr>
      <w:r>
        <w:rPr>
          <w:color w:val="000000"/>
          <w:sz w:val="24"/>
        </w:rPr>
        <w:t>(二)质疑提出的格式要求</w:t>
      </w:r>
    </w:p>
    <w:p w14:paraId="73B9908A">
      <w:pPr>
        <w:autoSpaceDE w:val="0"/>
        <w:autoSpaceDN w:val="0"/>
        <w:adjustRightInd w:val="0"/>
        <w:snapToGrid w:val="0"/>
        <w:spacing w:line="360" w:lineRule="auto"/>
        <w:ind w:firstLine="480" w:firstLineChars="200"/>
        <w:contextualSpacing/>
        <w:jc w:val="left"/>
        <w:rPr>
          <w:color w:val="000000"/>
          <w:sz w:val="24"/>
        </w:rPr>
      </w:pPr>
      <w:r>
        <w:rPr>
          <w:color w:val="000000"/>
          <w:sz w:val="24"/>
        </w:rPr>
        <w:t>1.质疑必须按《政府采购法》、《政府采购法实施条例》及《江苏省政府采购供应商监督管理暂行办法》的相关规定提交，质疑实行实名制，不得进行虚假、恶意质疑，未按上述要求提交的质疑函，将不予受理。</w:t>
      </w:r>
    </w:p>
    <w:p w14:paraId="086C96F3">
      <w:pPr>
        <w:autoSpaceDE w:val="0"/>
        <w:autoSpaceDN w:val="0"/>
        <w:adjustRightInd w:val="0"/>
        <w:snapToGrid w:val="0"/>
        <w:spacing w:line="360" w:lineRule="auto"/>
        <w:ind w:firstLine="480" w:firstLineChars="200"/>
        <w:contextualSpacing/>
        <w:jc w:val="left"/>
        <w:rPr>
          <w:color w:val="000000"/>
          <w:sz w:val="24"/>
        </w:rPr>
      </w:pPr>
      <w:r>
        <w:rPr>
          <w:color w:val="000000"/>
          <w:sz w:val="24"/>
        </w:rPr>
        <w:t>2.质疑函应包括：</w:t>
      </w:r>
    </w:p>
    <w:p w14:paraId="535C2A56">
      <w:pPr>
        <w:autoSpaceDE w:val="0"/>
        <w:autoSpaceDN w:val="0"/>
        <w:adjustRightInd w:val="0"/>
        <w:snapToGrid w:val="0"/>
        <w:spacing w:line="360" w:lineRule="auto"/>
        <w:ind w:firstLine="480" w:firstLineChars="200"/>
        <w:contextualSpacing/>
        <w:jc w:val="left"/>
        <w:rPr>
          <w:color w:val="000000"/>
          <w:sz w:val="24"/>
        </w:rPr>
      </w:pPr>
      <w:r>
        <w:rPr>
          <w:color w:val="000000"/>
          <w:sz w:val="24"/>
        </w:rPr>
        <w:t>（1）质疑投标供应商的名称、地址、邮编、联系人及联系电话；</w:t>
      </w:r>
    </w:p>
    <w:p w14:paraId="4A3F2AE5">
      <w:pPr>
        <w:autoSpaceDE w:val="0"/>
        <w:autoSpaceDN w:val="0"/>
        <w:adjustRightInd w:val="0"/>
        <w:snapToGrid w:val="0"/>
        <w:spacing w:line="360" w:lineRule="auto"/>
        <w:ind w:firstLine="480" w:firstLineChars="200"/>
        <w:contextualSpacing/>
        <w:jc w:val="left"/>
        <w:rPr>
          <w:color w:val="000000"/>
          <w:sz w:val="24"/>
        </w:rPr>
      </w:pPr>
      <w:r>
        <w:rPr>
          <w:color w:val="000000"/>
          <w:sz w:val="24"/>
        </w:rPr>
        <w:t>（2）具体、明确的质疑事项及明确的请求；</w:t>
      </w:r>
    </w:p>
    <w:p w14:paraId="4199EB99">
      <w:pPr>
        <w:autoSpaceDE w:val="0"/>
        <w:autoSpaceDN w:val="0"/>
        <w:adjustRightInd w:val="0"/>
        <w:snapToGrid w:val="0"/>
        <w:spacing w:line="360" w:lineRule="auto"/>
        <w:ind w:firstLine="480" w:firstLineChars="200"/>
        <w:contextualSpacing/>
        <w:jc w:val="left"/>
        <w:rPr>
          <w:color w:val="000000"/>
          <w:sz w:val="24"/>
        </w:rPr>
      </w:pPr>
      <w:r>
        <w:rPr>
          <w:color w:val="000000"/>
          <w:sz w:val="24"/>
        </w:rPr>
        <w:t>（3）质疑的事实依据和必要的法律依据；</w:t>
      </w:r>
    </w:p>
    <w:p w14:paraId="42A1984E">
      <w:pPr>
        <w:autoSpaceDE w:val="0"/>
        <w:autoSpaceDN w:val="0"/>
        <w:adjustRightInd w:val="0"/>
        <w:snapToGrid w:val="0"/>
        <w:spacing w:line="360" w:lineRule="auto"/>
        <w:ind w:firstLine="480" w:firstLineChars="200"/>
        <w:contextualSpacing/>
        <w:jc w:val="left"/>
        <w:rPr>
          <w:color w:val="000000"/>
          <w:sz w:val="24"/>
        </w:rPr>
      </w:pPr>
      <w:r>
        <w:rPr>
          <w:color w:val="000000"/>
          <w:sz w:val="24"/>
        </w:rPr>
        <w:t>（4）提起质疑的日期；</w:t>
      </w:r>
    </w:p>
    <w:p w14:paraId="428604F4">
      <w:pPr>
        <w:autoSpaceDE w:val="0"/>
        <w:autoSpaceDN w:val="0"/>
        <w:adjustRightInd w:val="0"/>
        <w:snapToGrid w:val="0"/>
        <w:spacing w:line="360" w:lineRule="auto"/>
        <w:ind w:firstLine="480" w:firstLineChars="200"/>
        <w:contextualSpacing/>
        <w:jc w:val="left"/>
        <w:rPr>
          <w:color w:val="000000"/>
          <w:sz w:val="24"/>
        </w:rPr>
      </w:pPr>
      <w:r>
        <w:rPr>
          <w:color w:val="000000"/>
          <w:sz w:val="24"/>
        </w:rPr>
        <w:t>（5）认为自己合法权益受到损害或可能受到损害的相关证据材料；</w:t>
      </w:r>
    </w:p>
    <w:p w14:paraId="7D500C2F">
      <w:pPr>
        <w:autoSpaceDE w:val="0"/>
        <w:autoSpaceDN w:val="0"/>
        <w:adjustRightInd w:val="0"/>
        <w:snapToGrid w:val="0"/>
        <w:spacing w:line="360" w:lineRule="auto"/>
        <w:ind w:firstLine="480" w:firstLineChars="200"/>
        <w:contextualSpacing/>
        <w:jc w:val="left"/>
        <w:rPr>
          <w:color w:val="000000"/>
          <w:sz w:val="24"/>
        </w:rPr>
      </w:pPr>
      <w:r>
        <w:rPr>
          <w:color w:val="000000"/>
          <w:sz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14:paraId="524D0C15">
      <w:pPr>
        <w:autoSpaceDE w:val="0"/>
        <w:autoSpaceDN w:val="0"/>
        <w:adjustRightInd w:val="0"/>
        <w:snapToGrid w:val="0"/>
        <w:spacing w:line="360" w:lineRule="auto"/>
        <w:ind w:firstLine="480" w:firstLineChars="200"/>
        <w:contextualSpacing/>
        <w:jc w:val="left"/>
        <w:rPr>
          <w:color w:val="000000"/>
          <w:sz w:val="24"/>
        </w:rPr>
      </w:pPr>
      <w:r>
        <w:rPr>
          <w:color w:val="000000"/>
          <w:sz w:val="24"/>
        </w:rPr>
        <w:t>3.质疑函需遵循的原则：</w:t>
      </w:r>
    </w:p>
    <w:p w14:paraId="7586CCB5">
      <w:pPr>
        <w:autoSpaceDE w:val="0"/>
        <w:autoSpaceDN w:val="0"/>
        <w:adjustRightInd w:val="0"/>
        <w:snapToGrid w:val="0"/>
        <w:spacing w:line="360" w:lineRule="auto"/>
        <w:ind w:firstLine="480" w:firstLineChars="200"/>
        <w:contextualSpacing/>
        <w:jc w:val="left"/>
        <w:rPr>
          <w:color w:val="000000"/>
          <w:sz w:val="24"/>
        </w:rPr>
      </w:pPr>
      <w:r>
        <w:rPr>
          <w:color w:val="000000"/>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34AA490C">
      <w:pPr>
        <w:autoSpaceDE w:val="0"/>
        <w:autoSpaceDN w:val="0"/>
        <w:adjustRightInd w:val="0"/>
        <w:snapToGrid w:val="0"/>
        <w:spacing w:line="360" w:lineRule="auto"/>
        <w:ind w:firstLine="480" w:firstLineChars="200"/>
        <w:contextualSpacing/>
        <w:jc w:val="left"/>
        <w:rPr>
          <w:color w:val="000000"/>
          <w:sz w:val="24"/>
        </w:rPr>
      </w:pPr>
      <w:r>
        <w:rPr>
          <w:color w:val="000000"/>
          <w:sz w:val="24"/>
        </w:rPr>
        <w:t>（三）质疑提出的时效要求</w:t>
      </w:r>
    </w:p>
    <w:p w14:paraId="7ED36B05">
      <w:pPr>
        <w:autoSpaceDE w:val="0"/>
        <w:autoSpaceDN w:val="0"/>
        <w:adjustRightInd w:val="0"/>
        <w:snapToGrid w:val="0"/>
        <w:spacing w:line="360" w:lineRule="auto"/>
        <w:ind w:firstLine="480" w:firstLineChars="200"/>
        <w:contextualSpacing/>
        <w:jc w:val="left"/>
        <w:rPr>
          <w:color w:val="000000"/>
          <w:sz w:val="24"/>
        </w:rPr>
      </w:pPr>
      <w:r>
        <w:rPr>
          <w:color w:val="000000"/>
          <w:sz w:val="24"/>
        </w:rPr>
        <w:t>1.投标供应商认为采购文件、采购过程和采购结果使自己的权益受到损害的，可以在知道或应知其权益受到损害之日起七个工作日内，以书面形式向采购人或代理机构提出质疑。上述应知其权益受到损害之日，是指：</w:t>
      </w:r>
    </w:p>
    <w:p w14:paraId="33901181">
      <w:pPr>
        <w:autoSpaceDE w:val="0"/>
        <w:autoSpaceDN w:val="0"/>
        <w:adjustRightInd w:val="0"/>
        <w:snapToGrid w:val="0"/>
        <w:spacing w:line="360" w:lineRule="auto"/>
        <w:ind w:firstLine="480" w:firstLineChars="200"/>
        <w:contextualSpacing/>
        <w:jc w:val="left"/>
        <w:rPr>
          <w:color w:val="000000"/>
          <w:sz w:val="24"/>
        </w:rPr>
      </w:pPr>
      <w:r>
        <w:rPr>
          <w:color w:val="000000"/>
          <w:sz w:val="24"/>
        </w:rPr>
        <w:t>（1）对可以质疑的采购文件提出质疑的，为收到采购文件之日或者采购文件公告期限届满之日；</w:t>
      </w:r>
    </w:p>
    <w:p w14:paraId="7E75C2C2">
      <w:pPr>
        <w:autoSpaceDE w:val="0"/>
        <w:autoSpaceDN w:val="0"/>
        <w:adjustRightInd w:val="0"/>
        <w:snapToGrid w:val="0"/>
        <w:spacing w:line="360" w:lineRule="auto"/>
        <w:ind w:firstLine="480" w:firstLineChars="200"/>
        <w:contextualSpacing/>
        <w:jc w:val="left"/>
        <w:rPr>
          <w:color w:val="000000"/>
          <w:sz w:val="24"/>
        </w:rPr>
      </w:pPr>
      <w:r>
        <w:rPr>
          <w:color w:val="000000"/>
          <w:sz w:val="24"/>
        </w:rPr>
        <w:t>（2）对采购过程提出质疑的，为各采购程序环节结束之日；</w:t>
      </w:r>
    </w:p>
    <w:p w14:paraId="0B87A9F2">
      <w:pPr>
        <w:autoSpaceDE w:val="0"/>
        <w:autoSpaceDN w:val="0"/>
        <w:adjustRightInd w:val="0"/>
        <w:snapToGrid w:val="0"/>
        <w:spacing w:line="360" w:lineRule="auto"/>
        <w:ind w:firstLine="480" w:firstLineChars="200"/>
        <w:contextualSpacing/>
        <w:jc w:val="left"/>
        <w:rPr>
          <w:color w:val="000000"/>
          <w:sz w:val="24"/>
        </w:rPr>
      </w:pPr>
      <w:r>
        <w:rPr>
          <w:color w:val="000000"/>
          <w:sz w:val="24"/>
        </w:rPr>
        <w:t>（3）对中标或者成交结果提出质疑的，为中标或者成交结果公告期限届满之日。</w:t>
      </w:r>
    </w:p>
    <w:p w14:paraId="22168851">
      <w:pPr>
        <w:autoSpaceDE w:val="0"/>
        <w:autoSpaceDN w:val="0"/>
        <w:adjustRightInd w:val="0"/>
        <w:snapToGrid w:val="0"/>
        <w:spacing w:line="360" w:lineRule="auto"/>
        <w:ind w:firstLine="480" w:firstLineChars="200"/>
        <w:contextualSpacing/>
        <w:jc w:val="left"/>
        <w:rPr>
          <w:color w:val="000000"/>
          <w:sz w:val="24"/>
        </w:rPr>
      </w:pPr>
      <w:r>
        <w:rPr>
          <w:color w:val="000000"/>
          <w:sz w:val="24"/>
        </w:rPr>
        <w:t>投标供应商认为采购文件使自己的权益受到损害的，可以向采购人提出质疑；投标供应商认为采购过程和采购结果使自己的权益受到损害的，可以以书面形式向采购人或代理机构提出质疑。</w:t>
      </w:r>
    </w:p>
    <w:p w14:paraId="2D738FD7">
      <w:pPr>
        <w:autoSpaceDE w:val="0"/>
        <w:autoSpaceDN w:val="0"/>
        <w:adjustRightInd w:val="0"/>
        <w:snapToGrid w:val="0"/>
        <w:spacing w:line="360" w:lineRule="auto"/>
        <w:ind w:firstLine="480" w:firstLineChars="200"/>
        <w:contextualSpacing/>
        <w:jc w:val="left"/>
        <w:rPr>
          <w:color w:val="000000"/>
          <w:sz w:val="24"/>
        </w:rPr>
      </w:pPr>
      <w:r>
        <w:rPr>
          <w:color w:val="000000"/>
          <w:sz w:val="24"/>
        </w:rPr>
        <w:t>2.投标供应商应在法定质疑期一次性提出针对同一采购程序环节的质疑。</w:t>
      </w:r>
    </w:p>
    <w:p w14:paraId="473C45AF">
      <w:pPr>
        <w:autoSpaceDE w:val="0"/>
        <w:autoSpaceDN w:val="0"/>
        <w:adjustRightInd w:val="0"/>
        <w:snapToGrid w:val="0"/>
        <w:spacing w:line="360" w:lineRule="auto"/>
        <w:ind w:firstLine="482" w:firstLineChars="200"/>
        <w:contextualSpacing/>
        <w:jc w:val="left"/>
        <w:rPr>
          <w:b/>
          <w:color w:val="000000"/>
          <w:sz w:val="24"/>
        </w:rPr>
      </w:pPr>
      <w:r>
        <w:rPr>
          <w:b/>
          <w:color w:val="000000"/>
          <w:sz w:val="24"/>
        </w:rPr>
        <w:t>二、《质疑函》的受理和回复</w:t>
      </w:r>
    </w:p>
    <w:p w14:paraId="52671034">
      <w:pPr>
        <w:autoSpaceDE w:val="0"/>
        <w:autoSpaceDN w:val="0"/>
        <w:adjustRightInd w:val="0"/>
        <w:snapToGrid w:val="0"/>
        <w:spacing w:line="360" w:lineRule="auto"/>
        <w:ind w:firstLine="480" w:firstLineChars="200"/>
        <w:contextualSpacing/>
        <w:jc w:val="left"/>
        <w:rPr>
          <w:color w:val="000000"/>
          <w:sz w:val="24"/>
        </w:rPr>
      </w:pPr>
      <w:r>
        <w:rPr>
          <w:color w:val="000000"/>
          <w:sz w:val="24"/>
        </w:rPr>
        <w:t>1.收到质疑函后，采购人将对质疑的形式和内容进行审查，如质疑函内容、格式不符合规定，采购人将告知质疑人进行补正。</w:t>
      </w:r>
    </w:p>
    <w:p w14:paraId="25BF08E9">
      <w:pPr>
        <w:autoSpaceDE w:val="0"/>
        <w:autoSpaceDN w:val="0"/>
        <w:adjustRightInd w:val="0"/>
        <w:snapToGrid w:val="0"/>
        <w:spacing w:line="360" w:lineRule="auto"/>
        <w:ind w:firstLine="480" w:firstLineChars="200"/>
        <w:contextualSpacing/>
        <w:jc w:val="left"/>
        <w:rPr>
          <w:color w:val="000000"/>
          <w:sz w:val="24"/>
        </w:rPr>
      </w:pPr>
      <w:r>
        <w:rPr>
          <w:color w:val="000000"/>
          <w:sz w:val="24"/>
        </w:rPr>
        <w:t>2. 质疑人应当在法定质疑期限内进行补正并重新提交质疑函，拒不补正或者在法定期限内未重新提交质疑函的，为无效质疑，采购人将不予受理。</w:t>
      </w:r>
    </w:p>
    <w:p w14:paraId="5F55566D">
      <w:pPr>
        <w:autoSpaceDE w:val="0"/>
        <w:autoSpaceDN w:val="0"/>
        <w:adjustRightInd w:val="0"/>
        <w:snapToGrid w:val="0"/>
        <w:spacing w:line="360" w:lineRule="auto"/>
        <w:ind w:firstLine="480" w:firstLineChars="200"/>
        <w:contextualSpacing/>
        <w:jc w:val="left"/>
        <w:rPr>
          <w:color w:val="000000"/>
          <w:sz w:val="24"/>
        </w:rPr>
      </w:pPr>
      <w:r>
        <w:rPr>
          <w:color w:val="000000"/>
          <w:sz w:val="24"/>
        </w:rPr>
        <w:t>3.采购人或采购代理机构答复供应商质疑应当采用书面方式并依法送达，质疑供应商或其委托代理人拒绝签收的视为已经送达。</w:t>
      </w:r>
    </w:p>
    <w:p w14:paraId="58C6CB2A">
      <w:pPr>
        <w:autoSpaceDE w:val="0"/>
        <w:autoSpaceDN w:val="0"/>
        <w:adjustRightInd w:val="0"/>
        <w:snapToGrid w:val="0"/>
        <w:spacing w:line="360" w:lineRule="auto"/>
        <w:ind w:firstLine="482" w:firstLineChars="200"/>
        <w:contextualSpacing/>
        <w:jc w:val="left"/>
        <w:rPr>
          <w:b/>
          <w:color w:val="000000"/>
          <w:kern w:val="0"/>
          <w:sz w:val="24"/>
          <w:lang w:val="zh-CN"/>
        </w:rPr>
      </w:pPr>
      <w:r>
        <w:rPr>
          <w:b/>
          <w:color w:val="000000"/>
          <w:kern w:val="0"/>
          <w:sz w:val="24"/>
          <w:lang w:val="zh-CN"/>
        </w:rPr>
        <w:t>三、质疑处理</w:t>
      </w:r>
    </w:p>
    <w:p w14:paraId="354A603C">
      <w:pPr>
        <w:autoSpaceDE w:val="0"/>
        <w:autoSpaceDN w:val="0"/>
        <w:adjustRightInd w:val="0"/>
        <w:snapToGrid w:val="0"/>
        <w:spacing w:line="360" w:lineRule="auto"/>
        <w:ind w:firstLine="482" w:firstLineChars="200"/>
        <w:contextualSpacing/>
        <w:jc w:val="left"/>
        <w:rPr>
          <w:b/>
          <w:color w:val="000000"/>
          <w:sz w:val="24"/>
        </w:rPr>
      </w:pPr>
      <w:r>
        <w:rPr>
          <w:b/>
          <w:color w:val="000000"/>
          <w:sz w:val="24"/>
        </w:rPr>
        <w:t>1、质疑成立的处理。</w:t>
      </w:r>
    </w:p>
    <w:p w14:paraId="34BD8964">
      <w:pPr>
        <w:autoSpaceDE w:val="0"/>
        <w:autoSpaceDN w:val="0"/>
        <w:adjustRightInd w:val="0"/>
        <w:snapToGrid w:val="0"/>
        <w:spacing w:line="360" w:lineRule="auto"/>
        <w:ind w:firstLine="480" w:firstLineChars="200"/>
        <w:contextualSpacing/>
        <w:jc w:val="left"/>
        <w:rPr>
          <w:color w:val="000000"/>
          <w:sz w:val="24"/>
        </w:rPr>
      </w:pPr>
      <w:r>
        <w:rPr>
          <w:color w:val="000000"/>
          <w:sz w:val="24"/>
        </w:rPr>
        <w:t>（1）对于内容、格式符合规定的质疑函，采购人在收到投标供应商的书面质疑后七个工作日内作出书面答复，但答复的内容不得涉及商业秘密。</w:t>
      </w:r>
    </w:p>
    <w:p w14:paraId="1F3B4726">
      <w:pPr>
        <w:autoSpaceDE w:val="0"/>
        <w:autoSpaceDN w:val="0"/>
        <w:adjustRightInd w:val="0"/>
        <w:snapToGrid w:val="0"/>
        <w:spacing w:line="360" w:lineRule="auto"/>
        <w:ind w:firstLine="480" w:firstLineChars="200"/>
        <w:contextualSpacing/>
        <w:jc w:val="left"/>
        <w:rPr>
          <w:color w:val="000000"/>
          <w:sz w:val="24"/>
        </w:rPr>
      </w:pPr>
      <w:r>
        <w:rPr>
          <w:color w:val="000000"/>
          <w:sz w:val="24"/>
        </w:rPr>
        <w:t>（2）对采购文件提出的质疑，依法通过澄清或者修改可以继续开展采购活动的，澄清或者修改采购文件后继续开展采购活动；否则应当修改采购文件后重新开展采购活动。</w:t>
      </w:r>
    </w:p>
    <w:p w14:paraId="6A9FA0FD">
      <w:pPr>
        <w:autoSpaceDE w:val="0"/>
        <w:autoSpaceDN w:val="0"/>
        <w:adjustRightInd w:val="0"/>
        <w:snapToGrid w:val="0"/>
        <w:spacing w:line="360" w:lineRule="auto"/>
        <w:ind w:firstLine="480" w:firstLineChars="200"/>
        <w:contextualSpacing/>
        <w:jc w:val="left"/>
        <w:rPr>
          <w:color w:val="000000"/>
          <w:sz w:val="24"/>
        </w:rPr>
      </w:pPr>
      <w:r>
        <w:rPr>
          <w:color w:val="000000"/>
          <w:sz w:val="24"/>
        </w:rPr>
        <w:t>（3）对采购过程、中标或者成交结果提出的质疑，合格供应商符合法定数量时，可以从合格的中标候选人中另行确定中标、成交供应商，或重新开展采购活动。</w:t>
      </w:r>
    </w:p>
    <w:p w14:paraId="0C18BBFC">
      <w:pPr>
        <w:autoSpaceDE w:val="0"/>
        <w:autoSpaceDN w:val="0"/>
        <w:adjustRightInd w:val="0"/>
        <w:snapToGrid w:val="0"/>
        <w:spacing w:line="360" w:lineRule="auto"/>
        <w:ind w:firstLine="480" w:firstLineChars="200"/>
        <w:contextualSpacing/>
        <w:jc w:val="left"/>
        <w:rPr>
          <w:color w:val="000000"/>
          <w:sz w:val="24"/>
        </w:rPr>
      </w:pPr>
      <w:r>
        <w:rPr>
          <w:color w:val="000000"/>
          <w:sz w:val="24"/>
        </w:rPr>
        <w:t>质疑答复导致中标、成交结果改变的，采购人或者采购代理机构应当将有关情况书面报告本级财政部门。</w:t>
      </w:r>
    </w:p>
    <w:p w14:paraId="19E22153">
      <w:pPr>
        <w:autoSpaceDE w:val="0"/>
        <w:autoSpaceDN w:val="0"/>
        <w:adjustRightInd w:val="0"/>
        <w:snapToGrid w:val="0"/>
        <w:spacing w:line="360" w:lineRule="auto"/>
        <w:ind w:firstLine="482" w:firstLineChars="200"/>
        <w:contextualSpacing/>
        <w:jc w:val="left"/>
        <w:rPr>
          <w:b/>
          <w:color w:val="000000"/>
          <w:kern w:val="0"/>
          <w:sz w:val="24"/>
          <w:lang w:val="zh-CN"/>
        </w:rPr>
      </w:pPr>
      <w:r>
        <w:rPr>
          <w:b/>
          <w:color w:val="000000"/>
          <w:kern w:val="0"/>
          <w:sz w:val="24"/>
          <w:lang w:val="zh-CN"/>
        </w:rPr>
        <w:t>2、质疑不成立的处理。</w:t>
      </w:r>
    </w:p>
    <w:p w14:paraId="0FF80A16">
      <w:pPr>
        <w:snapToGrid w:val="0"/>
        <w:spacing w:line="360" w:lineRule="auto"/>
        <w:ind w:firstLine="480" w:firstLineChars="200"/>
        <w:contextualSpacing/>
        <w:jc w:val="left"/>
        <w:rPr>
          <w:sz w:val="24"/>
        </w:rPr>
      </w:pPr>
      <w:r>
        <w:rPr>
          <w:color w:val="000000"/>
          <w:kern w:val="0"/>
          <w:sz w:val="24"/>
          <w:lang w:val="zh-CN"/>
        </w:rPr>
        <w:t>（1）</w:t>
      </w:r>
      <w:r>
        <w:rPr>
          <w:sz w:val="24"/>
        </w:rPr>
        <w:t>若质疑不成立，或者成立未对中标、成交结果构成影响的，继续开展采购活动。</w:t>
      </w:r>
    </w:p>
    <w:p w14:paraId="75E37B50">
      <w:pPr>
        <w:snapToGrid w:val="0"/>
        <w:spacing w:line="360" w:lineRule="auto"/>
        <w:ind w:firstLine="460" w:firstLineChars="192"/>
        <w:contextualSpacing/>
        <w:jc w:val="left"/>
        <w:rPr>
          <w:color w:val="000000"/>
          <w:kern w:val="0"/>
          <w:sz w:val="24"/>
          <w:lang w:val="zh-CN"/>
        </w:rPr>
      </w:pPr>
      <w:r>
        <w:rPr>
          <w:color w:val="000000"/>
          <w:kern w:val="0"/>
          <w:sz w:val="24"/>
          <w:lang w:val="zh-CN"/>
        </w:rPr>
        <w:t>（2）对明显有违背事实的、经相关专家或评委认定无依据的、经其他供应商举证无依据的质疑，作违约处理，对其中每一项不成立的质疑给予质疑人1年内禁入由采购人组织的政府采购活动的违约处理。</w:t>
      </w:r>
    </w:p>
    <w:p w14:paraId="4332476A">
      <w:pPr>
        <w:snapToGrid w:val="0"/>
        <w:spacing w:line="360" w:lineRule="auto"/>
        <w:ind w:firstLine="460" w:firstLineChars="192"/>
        <w:contextualSpacing/>
        <w:jc w:val="left"/>
        <w:rPr>
          <w:color w:val="000000"/>
          <w:kern w:val="0"/>
          <w:sz w:val="24"/>
          <w:lang w:val="zh-CN"/>
        </w:rPr>
      </w:pPr>
      <w:r>
        <w:rPr>
          <w:color w:val="000000"/>
          <w:kern w:val="0"/>
          <w:sz w:val="24"/>
          <w:lang w:val="zh-CN"/>
        </w:rPr>
        <w:t>（3）质疑人承担使用虚假材料或恶意方式质疑的法律责任。</w:t>
      </w:r>
    </w:p>
    <w:p w14:paraId="0A6DF996">
      <w:pPr>
        <w:autoSpaceDE w:val="0"/>
        <w:autoSpaceDN w:val="0"/>
        <w:adjustRightInd w:val="0"/>
        <w:snapToGrid w:val="0"/>
        <w:spacing w:line="360" w:lineRule="auto"/>
        <w:ind w:firstLine="482" w:firstLineChars="200"/>
        <w:contextualSpacing/>
        <w:jc w:val="left"/>
        <w:rPr>
          <w:b/>
          <w:color w:val="000000"/>
          <w:kern w:val="0"/>
          <w:sz w:val="24"/>
          <w:lang w:val="zh-CN"/>
        </w:rPr>
      </w:pPr>
      <w:r>
        <w:rPr>
          <w:b/>
          <w:color w:val="000000"/>
          <w:kern w:val="0"/>
          <w:sz w:val="24"/>
          <w:lang w:val="zh-CN"/>
        </w:rPr>
        <w:t>3、虚假质疑的处理</w:t>
      </w:r>
    </w:p>
    <w:p w14:paraId="7EB1B823">
      <w:pPr>
        <w:snapToGrid w:val="0"/>
        <w:spacing w:line="360" w:lineRule="auto"/>
        <w:ind w:firstLine="460" w:firstLineChars="192"/>
        <w:contextualSpacing/>
        <w:jc w:val="left"/>
        <w:rPr>
          <w:color w:val="000000"/>
          <w:kern w:val="0"/>
          <w:sz w:val="24"/>
          <w:lang w:val="zh-CN"/>
        </w:rPr>
      </w:pPr>
      <w:r>
        <w:rPr>
          <w:color w:val="000000"/>
          <w:kern w:val="0"/>
          <w:sz w:val="24"/>
          <w:lang w:val="zh-CN"/>
        </w:rPr>
        <w:t>投标供应商提出书面质疑必须有理、有据，不得恶意质疑或提交虚假质疑。否则，一经查实，将依据政府采购的有关规定，报请政府采购监管部门对该投标供应商进行相应的行政处罚。</w:t>
      </w:r>
    </w:p>
    <w:p w14:paraId="7050C06E">
      <w:pPr>
        <w:snapToGrid w:val="0"/>
        <w:spacing w:line="300" w:lineRule="auto"/>
        <w:jc w:val="center"/>
        <w:outlineLvl w:val="9"/>
        <w:rPr>
          <w:b/>
          <w:color w:val="000000"/>
          <w:sz w:val="36"/>
          <w:szCs w:val="36"/>
        </w:rPr>
      </w:pPr>
    </w:p>
    <w:p w14:paraId="22F926E2">
      <w:pPr>
        <w:pStyle w:val="5"/>
        <w:spacing w:before="120" w:beforeLines="50" w:after="120" w:afterLines="50" w:line="360" w:lineRule="auto"/>
        <w:jc w:val="center"/>
        <w:rPr>
          <w:rFonts w:hint="eastAsia" w:ascii="宋体" w:hAnsi="宋体" w:cs="宋体"/>
          <w:sz w:val="36"/>
          <w:szCs w:val="36"/>
        </w:rPr>
      </w:pPr>
      <w:r>
        <w:rPr>
          <w:b w:val="0"/>
          <w:color w:val="000000"/>
          <w:sz w:val="36"/>
          <w:szCs w:val="36"/>
        </w:rPr>
        <w:br w:type="page"/>
      </w:r>
      <w:r>
        <w:rPr>
          <w:rFonts w:hint="eastAsia" w:ascii="宋体" w:hAnsi="宋体" w:cs="宋体"/>
          <w:sz w:val="36"/>
          <w:szCs w:val="36"/>
        </w:rPr>
        <w:t>第七部分 响应文件组成</w:t>
      </w:r>
    </w:p>
    <w:p w14:paraId="05694407">
      <w:pPr>
        <w:keepNext w:val="0"/>
        <w:keepLines w:val="0"/>
        <w:pageBreakBefore w:val="0"/>
        <w:widowControl/>
        <w:shd w:val="clear" w:color="auto" w:fill="FFFFFF"/>
        <w:kinsoku/>
        <w:wordWrap/>
        <w:topLinePunct w:val="0"/>
        <w:autoSpaceDE/>
        <w:autoSpaceDN/>
        <w:bidi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响应文件由资格审查证明材料、商务技术响应文件、价格响应文件三部分组成。</w:t>
      </w:r>
    </w:p>
    <w:p w14:paraId="041A26F8">
      <w:pPr>
        <w:keepNext w:val="0"/>
        <w:keepLines w:val="0"/>
        <w:pageBreakBefore w:val="0"/>
        <w:widowControl/>
        <w:shd w:val="clear" w:color="auto" w:fill="FFFFFF"/>
        <w:kinsoku/>
        <w:wordWrap/>
        <w:topLinePunct w:val="0"/>
        <w:autoSpaceDE/>
        <w:autoSpaceDN/>
        <w:bidi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一、资格审查证明材料（一正两副，单独密封并牢固装订）：</w:t>
      </w:r>
    </w:p>
    <w:p w14:paraId="52BA0462">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1.关于资格的声明函；（附件1）</w:t>
      </w:r>
    </w:p>
    <w:p w14:paraId="4143648F">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2.法定代表人参加投标的,须提供法定代表人身份证明书原件及本人身份证复印件（附件2）；非法定代表人参加投标的，必须提供法定代表人签字或盖章的授权委托书及法定代表人、被授权人两人身份证的复印件；（附件3）</w:t>
      </w:r>
    </w:p>
    <w:p w14:paraId="2EA5258E">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3.法人或者其他组织的营业执照或事业单位法人证书；</w:t>
      </w:r>
    </w:p>
    <w:p w14:paraId="651F4D72">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4.供应商符合《政府采购法》第二十二条规定条件的声明函；（附件4）</w:t>
      </w:r>
    </w:p>
    <w:p w14:paraId="0A939358">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5.参与本次项目政府采购活动前三年内，在经营活动中没有重大违法记录的书面《无重大违法记录声明函》；（附件5）</w:t>
      </w:r>
    </w:p>
    <w:p w14:paraId="7E8C6C84">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6.其它需要提交的资格审查证明材料。</w:t>
      </w:r>
    </w:p>
    <w:p w14:paraId="262440A2">
      <w:pPr>
        <w:keepNext w:val="0"/>
        <w:keepLines w:val="0"/>
        <w:pageBreakBefore w:val="0"/>
        <w:widowControl/>
        <w:shd w:val="clear" w:color="auto" w:fill="FFFFFF"/>
        <w:kinsoku/>
        <w:wordWrap/>
        <w:topLinePunct w:val="0"/>
        <w:autoSpaceDE/>
        <w:autoSpaceDN/>
        <w:bidi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二、商务技术响应文件（不能出现报价；一正两副，单独密封并牢固装订）：</w:t>
      </w:r>
    </w:p>
    <w:p w14:paraId="57F0A918">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1.竞争性磋商响应函（附件6）；</w:t>
      </w:r>
    </w:p>
    <w:p w14:paraId="0F02B533">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2.磋商供应商情况一览表（附件7）；</w:t>
      </w:r>
    </w:p>
    <w:p w14:paraId="15B93816">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3.商务部分正负偏离表（附件8）；</w:t>
      </w:r>
    </w:p>
    <w:p w14:paraId="184DCAD5">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4.技术部分正负偏离表（附件8）；</w:t>
      </w:r>
    </w:p>
    <w:p w14:paraId="1DF4C4D6">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填制正负偏离表，完全响应的，请以空白表列示。不完全响应的，必须在偏离表中列示；列示不全的，视同故意隐瞒。</w:t>
      </w:r>
    </w:p>
    <w:p w14:paraId="66FDFFE0">
      <w:pPr>
        <w:keepNext w:val="0"/>
        <w:keepLines w:val="0"/>
        <w:pageBreakBefore w:val="0"/>
        <w:widowControl/>
        <w:numPr>
          <w:ilvl w:val="0"/>
          <w:numId w:val="2"/>
        </w:numPr>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响应方案；</w:t>
      </w:r>
    </w:p>
    <w:p w14:paraId="17365324">
      <w:pPr>
        <w:keepNext w:val="0"/>
        <w:keepLines w:val="0"/>
        <w:pageBreakBefore w:val="0"/>
        <w:widowControl/>
        <w:numPr>
          <w:ilvl w:val="0"/>
          <w:numId w:val="2"/>
        </w:numPr>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商务技术部分评标办法中要求提供的全部资料</w:t>
      </w:r>
      <w:r>
        <w:rPr>
          <w:rFonts w:hint="eastAsia" w:ascii="宋体" w:hAnsi="宋体" w:eastAsia="宋体" w:cs="宋体"/>
          <w:sz w:val="24"/>
          <w:szCs w:val="24"/>
        </w:rPr>
        <w:t>，为方便评委评审，请供应商按评审办法中所涉及的事项顺序进行编制，可以补充相关材料；</w:t>
      </w:r>
    </w:p>
    <w:p w14:paraId="547EB4AB">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7.评审办法中未涉及的事项，供应商认为需要提交的其他资料。</w:t>
      </w:r>
    </w:p>
    <w:p w14:paraId="4438D29E">
      <w:pPr>
        <w:keepNext w:val="0"/>
        <w:keepLines w:val="0"/>
        <w:pageBreakBefore w:val="0"/>
        <w:widowControl/>
        <w:shd w:val="clear" w:color="auto" w:fill="FFFFFF"/>
        <w:kinsoku/>
        <w:wordWrap/>
        <w:topLinePunct w:val="0"/>
        <w:autoSpaceDE/>
        <w:autoSpaceDN/>
        <w:bidi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三、价格响应文件，一正两副（单独密封并牢固装订），不得出现在商务技术响应文件部分：</w:t>
      </w:r>
    </w:p>
    <w:p w14:paraId="0CE52DD8">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1.报价总表（附件9）；</w:t>
      </w:r>
    </w:p>
    <w:p w14:paraId="443F4FB5">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2.报价明细表（格式自拟）；</w:t>
      </w:r>
    </w:p>
    <w:p w14:paraId="5CD6D984">
      <w:pPr>
        <w:keepNext w:val="0"/>
        <w:keepLines w:val="0"/>
        <w:pageBreakBefore w:val="0"/>
        <w:widowControl/>
        <w:shd w:val="clear" w:color="auto" w:fill="FFFFFF"/>
        <w:kinsoku/>
        <w:wordWrap/>
        <w:topLinePunct w:val="0"/>
        <w:autoSpaceDE/>
        <w:autoSpaceDN/>
        <w:bidi w:val="0"/>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rPr>
        <w:t>.小微企业、监狱企业、残疾人福利单位（如有）（附件10）</w:t>
      </w:r>
      <w:r>
        <w:rPr>
          <w:rFonts w:hint="eastAsia" w:ascii="宋体" w:hAnsi="宋体" w:eastAsia="宋体" w:cs="宋体"/>
          <w:sz w:val="24"/>
          <w:szCs w:val="24"/>
          <w:lang w:val="zh-CN"/>
        </w:rPr>
        <w:t>。</w:t>
      </w:r>
    </w:p>
    <w:p w14:paraId="6470B486">
      <w:pPr>
        <w:keepNext w:val="0"/>
        <w:keepLines w:val="0"/>
        <w:pageBreakBefore w:val="0"/>
        <w:widowControl/>
        <w:kinsoku/>
        <w:wordWrap/>
        <w:topLinePunct w:val="0"/>
        <w:autoSpaceDE/>
        <w:autoSpaceDN/>
        <w:bidi w:val="0"/>
        <w:spacing w:line="360" w:lineRule="auto"/>
        <w:jc w:val="left"/>
        <w:rPr>
          <w:rFonts w:hint="eastAsia" w:ascii="宋体" w:hAnsi="宋体" w:eastAsia="宋体" w:cs="宋体"/>
          <w:sz w:val="24"/>
          <w:szCs w:val="24"/>
        </w:rPr>
      </w:pPr>
    </w:p>
    <w:p w14:paraId="034D8289">
      <w:pPr>
        <w:keepNext w:val="0"/>
        <w:keepLines w:val="0"/>
        <w:pageBreakBefore w:val="0"/>
        <w:widowControl/>
        <w:shd w:val="clear" w:color="auto" w:fill="FFFFFF"/>
        <w:kinsoku/>
        <w:wordWrap/>
        <w:topLinePunct w:val="0"/>
        <w:autoSpaceDE/>
        <w:autoSpaceDN/>
        <w:bidi w:val="0"/>
        <w:spacing w:line="360" w:lineRule="auto"/>
        <w:jc w:val="left"/>
        <w:outlineLvl w:val="1"/>
        <w:rPr>
          <w:rFonts w:hint="eastAsia" w:ascii="宋体" w:hAnsi="宋体" w:eastAsia="宋体" w:cs="宋体"/>
          <w:b/>
          <w:sz w:val="24"/>
          <w:szCs w:val="24"/>
        </w:rPr>
      </w:pPr>
      <w:bookmarkStart w:id="14" w:name="_Toc44750623"/>
      <w:r>
        <w:rPr>
          <w:rFonts w:hint="eastAsia" w:ascii="宋体" w:hAnsi="宋体" w:eastAsia="宋体" w:cs="宋体"/>
          <w:b/>
          <w:sz w:val="24"/>
          <w:szCs w:val="24"/>
        </w:rPr>
        <w:br w:type="page"/>
      </w:r>
      <w:r>
        <w:rPr>
          <w:rFonts w:hint="eastAsia" w:ascii="宋体" w:hAnsi="宋体" w:eastAsia="宋体" w:cs="宋体"/>
          <w:b/>
          <w:sz w:val="24"/>
          <w:szCs w:val="24"/>
        </w:rPr>
        <w:t>附件1：关于资格的声明函</w:t>
      </w:r>
      <w:bookmarkEnd w:id="14"/>
    </w:p>
    <w:p w14:paraId="62CCB722">
      <w:pPr>
        <w:keepNext w:val="0"/>
        <w:keepLines w:val="0"/>
        <w:pageBreakBefore w:val="0"/>
        <w:widowControl/>
        <w:shd w:val="clear" w:color="auto" w:fill="FFFFFF"/>
        <w:kinsoku/>
        <w:wordWrap/>
        <w:topLinePunct w:val="0"/>
        <w:autoSpaceDE/>
        <w:autoSpaceDN/>
        <w:bidi w:val="0"/>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u w:val="single"/>
        </w:rPr>
        <w:t>南通市生态环境局：</w:t>
      </w:r>
    </w:p>
    <w:p w14:paraId="731876E3">
      <w:pPr>
        <w:keepNext w:val="0"/>
        <w:keepLines w:val="0"/>
        <w:pageBreakBefore w:val="0"/>
        <w:kinsoku/>
        <w:wordWrap/>
        <w:overflowPunct w:val="0"/>
        <w:topLinePunct w:val="0"/>
        <w:autoSpaceDE/>
        <w:autoSpaceDN/>
        <w:bidi w:val="0"/>
        <w:adjustRightIn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lang w:bidi="ar"/>
        </w:rPr>
        <w:t>本公司愿就由贵单位组织实施的</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（招标项目名称及项目编号）的招标活动进行投标。本公司所提交的投标文件中所有关于投标资格的文件、证明和陈述均是真实的、准确的。若与真实情况不符，本公司愿意承担由此而产生的一切后果。</w:t>
      </w:r>
    </w:p>
    <w:p w14:paraId="1801F0FB">
      <w:pPr>
        <w:keepNext w:val="0"/>
        <w:keepLines w:val="0"/>
        <w:pageBreakBefore w:val="0"/>
        <w:kinsoku/>
        <w:wordWrap/>
        <w:topLinePunct w:val="0"/>
        <w:autoSpaceDE/>
        <w:autoSpaceDN/>
        <w:bidi w:val="0"/>
        <w:snapToGrid w:val="0"/>
        <w:spacing w:line="360" w:lineRule="auto"/>
        <w:jc w:val="center"/>
        <w:rPr>
          <w:rFonts w:hint="eastAsia" w:ascii="宋体" w:hAnsi="宋体" w:eastAsia="宋体" w:cs="宋体"/>
          <w:b/>
          <w:sz w:val="24"/>
          <w:szCs w:val="24"/>
        </w:rPr>
      </w:pPr>
    </w:p>
    <w:p w14:paraId="71217F26">
      <w:pPr>
        <w:keepNext w:val="0"/>
        <w:keepLines w:val="0"/>
        <w:pageBreakBefore w:val="0"/>
        <w:widowControl/>
        <w:kinsoku/>
        <w:wordWrap/>
        <w:topLinePunct w:val="0"/>
        <w:autoSpaceDE/>
        <w:autoSpaceDN/>
        <w:bidi w:val="0"/>
        <w:spacing w:line="360" w:lineRule="auto"/>
        <w:jc w:val="right"/>
        <w:rPr>
          <w:rFonts w:hint="eastAsia" w:ascii="宋体" w:hAnsi="宋体" w:eastAsia="宋体" w:cs="宋体"/>
          <w:sz w:val="24"/>
          <w:szCs w:val="24"/>
        </w:rPr>
      </w:pPr>
    </w:p>
    <w:p w14:paraId="58193807">
      <w:pPr>
        <w:keepNext w:val="0"/>
        <w:keepLines w:val="0"/>
        <w:pageBreakBefore w:val="0"/>
        <w:kinsoku/>
        <w:wordWrap/>
        <w:topLinePunct w:val="0"/>
        <w:autoSpaceDE/>
        <w:autoSpaceDN/>
        <w:bidi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供应商名称（公章）： </w:t>
      </w:r>
    </w:p>
    <w:p w14:paraId="7A941588">
      <w:pPr>
        <w:keepNext w:val="0"/>
        <w:keepLines w:val="0"/>
        <w:pageBreakBefore w:val="0"/>
        <w:kinsoku/>
        <w:wordWrap/>
        <w:topLinePunct w:val="0"/>
        <w:autoSpaceDE/>
        <w:autoSpaceDN/>
        <w:bidi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法定代表人或其委托代理人（签字或加盖人名章）：</w:t>
      </w:r>
    </w:p>
    <w:p w14:paraId="18730B89">
      <w:pPr>
        <w:keepNext w:val="0"/>
        <w:keepLines w:val="0"/>
        <w:pageBreakBefore w:val="0"/>
        <w:kinsoku/>
        <w:wordWrap/>
        <w:topLinePunct w:val="0"/>
        <w:autoSpaceDE/>
        <w:autoSpaceDN/>
        <w:bidi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    期：     年   月    日</w:t>
      </w:r>
    </w:p>
    <w:p w14:paraId="4AC76277">
      <w:pPr>
        <w:keepNext w:val="0"/>
        <w:keepLines w:val="0"/>
        <w:pageBreakBefore w:val="0"/>
        <w:widowControl/>
        <w:kinsoku/>
        <w:wordWrap/>
        <w:topLinePunct w:val="0"/>
        <w:autoSpaceDE/>
        <w:autoSpaceDN/>
        <w:bidi w:val="0"/>
        <w:spacing w:line="360" w:lineRule="auto"/>
        <w:rPr>
          <w:rFonts w:hint="eastAsia" w:ascii="宋体" w:hAnsi="宋体" w:eastAsia="宋体" w:cs="宋体"/>
          <w:sz w:val="24"/>
          <w:szCs w:val="24"/>
        </w:rPr>
      </w:pPr>
    </w:p>
    <w:p w14:paraId="4774F7FE">
      <w:pPr>
        <w:keepNext w:val="0"/>
        <w:keepLines w:val="0"/>
        <w:pageBreakBefore w:val="0"/>
        <w:widowControl/>
        <w:shd w:val="clear" w:color="auto" w:fill="FFFFFF"/>
        <w:kinsoku/>
        <w:wordWrap/>
        <w:topLinePunct w:val="0"/>
        <w:autoSpaceDE/>
        <w:autoSpaceDN/>
        <w:bidi w:val="0"/>
        <w:spacing w:line="360" w:lineRule="auto"/>
        <w:jc w:val="left"/>
        <w:outlineLvl w:val="1"/>
        <w:rPr>
          <w:rFonts w:hint="eastAsia" w:ascii="宋体" w:hAnsi="宋体" w:eastAsia="宋体" w:cs="宋体"/>
          <w:b/>
          <w:sz w:val="24"/>
          <w:szCs w:val="24"/>
        </w:rPr>
      </w:pPr>
      <w:bookmarkStart w:id="15" w:name="_Toc44750624"/>
      <w:r>
        <w:rPr>
          <w:rFonts w:hint="eastAsia" w:ascii="宋体" w:hAnsi="宋体" w:eastAsia="宋体" w:cs="宋体"/>
          <w:b/>
          <w:sz w:val="24"/>
          <w:szCs w:val="24"/>
        </w:rPr>
        <w:br w:type="page"/>
      </w:r>
      <w:r>
        <w:rPr>
          <w:rFonts w:hint="eastAsia" w:ascii="宋体" w:hAnsi="宋体" w:eastAsia="宋体" w:cs="宋体"/>
          <w:b/>
          <w:sz w:val="24"/>
          <w:szCs w:val="24"/>
        </w:rPr>
        <w:t>附件2：法定代表人身份证明书</w:t>
      </w:r>
      <w:bookmarkEnd w:id="15"/>
    </w:p>
    <w:p w14:paraId="3488C138">
      <w:pPr>
        <w:keepNext w:val="0"/>
        <w:keepLines w:val="0"/>
        <w:pageBreakBefore w:val="0"/>
        <w:widowControl/>
        <w:shd w:val="clear" w:color="auto" w:fill="FFFFFF"/>
        <w:kinsoku/>
        <w:wordWrap/>
        <w:topLinePunct w:val="0"/>
        <w:autoSpaceDE/>
        <w:autoSpaceDN/>
        <w:bidi w:val="0"/>
        <w:spacing w:line="360" w:lineRule="auto"/>
        <w:jc w:val="left"/>
        <w:rPr>
          <w:rFonts w:hint="eastAsia" w:ascii="宋体" w:hAnsi="宋体" w:eastAsia="宋体" w:cs="宋体"/>
          <w:sz w:val="24"/>
          <w:szCs w:val="24"/>
        </w:rPr>
      </w:pPr>
    </w:p>
    <w:p w14:paraId="68DCBA03">
      <w:pPr>
        <w:keepNext w:val="0"/>
        <w:keepLines w:val="0"/>
        <w:pageBreakBefore w:val="0"/>
        <w:kinsoku/>
        <w:wordWrap/>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先生／女士：现任我单位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14:paraId="12BDB00B">
      <w:pPr>
        <w:keepNext w:val="0"/>
        <w:keepLines w:val="0"/>
        <w:pageBreakBefore w:val="0"/>
        <w:kinsoku/>
        <w:wordWrap/>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636F7F16">
      <w:pPr>
        <w:keepNext w:val="0"/>
        <w:keepLines w:val="0"/>
        <w:pageBreakBefore w:val="0"/>
        <w:kinsoku/>
        <w:wordWrap/>
        <w:topLinePunct w:val="0"/>
        <w:autoSpaceDE/>
        <w:autoSpaceDN/>
        <w:bidi w:val="0"/>
        <w:spacing w:line="360" w:lineRule="auto"/>
        <w:ind w:firstLine="480" w:firstLineChars="200"/>
        <w:rPr>
          <w:rFonts w:hint="eastAsia" w:ascii="宋体" w:hAnsi="宋体" w:eastAsia="宋体" w:cs="宋体"/>
          <w:sz w:val="24"/>
          <w:szCs w:val="24"/>
        </w:rPr>
      </w:pPr>
    </w:p>
    <w:p w14:paraId="6498FA04">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供应商全称（公章）：</w:t>
      </w:r>
    </w:p>
    <w:p w14:paraId="24F5A974">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法定代表人（签字）：</w:t>
      </w:r>
    </w:p>
    <w:p w14:paraId="323C8B1C">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响应日期：     年     月    日</w:t>
      </w:r>
    </w:p>
    <w:p w14:paraId="692AE329">
      <w:pPr>
        <w:keepNext w:val="0"/>
        <w:keepLines w:val="0"/>
        <w:pageBreakBefore w:val="0"/>
        <w:kinsoku/>
        <w:wordWrap/>
        <w:topLinePunct w:val="0"/>
        <w:autoSpaceDE/>
        <w:autoSpaceDN/>
        <w:bidi w:val="0"/>
        <w:spacing w:line="360" w:lineRule="auto"/>
        <w:ind w:firstLine="480" w:firstLineChars="200"/>
        <w:rPr>
          <w:rFonts w:hint="eastAsia" w:ascii="宋体" w:hAnsi="宋体" w:eastAsia="宋体" w:cs="宋体"/>
          <w:sz w:val="24"/>
          <w:szCs w:val="24"/>
        </w:rPr>
      </w:pPr>
    </w:p>
    <w:p w14:paraId="0F603557">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注：提供法定代表人的身份证复印件盖公章</w:t>
      </w:r>
    </w:p>
    <w:p w14:paraId="1287CFC0">
      <w:pPr>
        <w:keepNext w:val="0"/>
        <w:keepLines w:val="0"/>
        <w:pageBreakBefore w:val="0"/>
        <w:kinsoku/>
        <w:wordWrap/>
        <w:topLinePunct w:val="0"/>
        <w:autoSpaceDE/>
        <w:autoSpaceDN/>
        <w:bidi w:val="0"/>
        <w:spacing w:line="360" w:lineRule="auto"/>
        <w:ind w:firstLine="480" w:firstLineChars="200"/>
        <w:rPr>
          <w:rFonts w:hint="eastAsia" w:ascii="宋体" w:hAnsi="宋体" w:eastAsia="宋体" w:cs="宋体"/>
          <w:sz w:val="24"/>
          <w:szCs w:val="24"/>
        </w:rPr>
      </w:pPr>
    </w:p>
    <w:p w14:paraId="6C295D0F">
      <w:pPr>
        <w:keepNext w:val="0"/>
        <w:keepLines w:val="0"/>
        <w:pageBreakBefore w:val="0"/>
        <w:widowControl/>
        <w:kinsoku/>
        <w:wordWrap/>
        <w:topLinePunct w:val="0"/>
        <w:autoSpaceDE/>
        <w:autoSpaceDN/>
        <w:bidi w:val="0"/>
        <w:spacing w:line="360" w:lineRule="auto"/>
        <w:jc w:val="left"/>
        <w:rPr>
          <w:rFonts w:hint="eastAsia"/>
        </w:rPr>
      </w:pPr>
      <w:r>
        <w:rPr>
          <w:rFonts w:hint="eastAsia" w:ascii="宋体" w:hAnsi="宋体" w:eastAsia="宋体" w:cs="宋体"/>
          <w:sz w:val="24"/>
          <w:szCs w:val="24"/>
        </w:rPr>
        <w:br w:type="page"/>
      </w:r>
      <w:bookmarkStart w:id="16" w:name="_Toc44750625"/>
      <w:r>
        <w:rPr>
          <w:rFonts w:hint="eastAsia" w:ascii="宋体" w:hAnsi="宋体" w:eastAsia="宋体" w:cs="宋体"/>
          <w:b/>
          <w:sz w:val="24"/>
          <w:szCs w:val="24"/>
        </w:rPr>
        <w:t>附件3：法定代表人授权委托书</w:t>
      </w:r>
      <w:bookmarkEnd w:id="16"/>
    </w:p>
    <w:p w14:paraId="09601B05">
      <w:pPr>
        <w:keepNext w:val="0"/>
        <w:keepLines w:val="0"/>
        <w:pageBreakBefore w:val="0"/>
        <w:widowControl/>
        <w:shd w:val="clear" w:color="auto" w:fill="FFFFFF"/>
        <w:kinsoku/>
        <w:wordWrap/>
        <w:topLinePunct w:val="0"/>
        <w:autoSpaceDE/>
        <w:autoSpaceDN/>
        <w:bidi w:val="0"/>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u w:val="single"/>
        </w:rPr>
        <w:t>南通市生态环境局：</w:t>
      </w:r>
    </w:p>
    <w:p w14:paraId="5C599122">
      <w:pPr>
        <w:keepNext w:val="0"/>
        <w:keepLines w:val="0"/>
        <w:pageBreakBefore w:val="0"/>
        <w:kinsoku/>
        <w:wordWrap/>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 xml:space="preserve">        </w:t>
      </w: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的法定代表人，现授权委托</w:t>
      </w:r>
      <w:r>
        <w:rPr>
          <w:rFonts w:hint="eastAsia" w:ascii="宋体" w:hAnsi="宋体" w:eastAsia="宋体" w:cs="宋体"/>
          <w:sz w:val="24"/>
          <w:szCs w:val="24"/>
          <w:u w:val="single"/>
        </w:rPr>
        <w:t xml:space="preserve">          </w:t>
      </w:r>
      <w:r>
        <w:rPr>
          <w:rFonts w:hint="eastAsia" w:ascii="宋体" w:hAnsi="宋体" w:eastAsia="宋体" w:cs="宋体"/>
          <w:sz w:val="24"/>
          <w:szCs w:val="24"/>
        </w:rPr>
        <w:t>为我公司代理人，以本公司的名义参加本项目的响应活动。代理人在开标、评审、合同谈判过程中所签署的一切文件和处理与之有关的一切事务，我均予以承认。</w:t>
      </w:r>
    </w:p>
    <w:p w14:paraId="3DDF98E8">
      <w:pPr>
        <w:keepNext w:val="0"/>
        <w:keepLines w:val="0"/>
        <w:pageBreakBefore w:val="0"/>
        <w:kinsoku/>
        <w:wordWrap/>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被委托授权人无转委权。特此委托。</w:t>
      </w:r>
    </w:p>
    <w:p w14:paraId="12DA3991">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被委托授权人身份证号：</w:t>
      </w:r>
    </w:p>
    <w:p w14:paraId="08B930D2">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被委托授权人签字：</w:t>
      </w:r>
    </w:p>
    <w:p w14:paraId="4B059BC1">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p w14:paraId="731CD723">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供应商全称（公章）：</w:t>
      </w:r>
    </w:p>
    <w:p w14:paraId="7D19B672">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法定代表人（签字）：</w:t>
      </w:r>
    </w:p>
    <w:p w14:paraId="1244F640">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响应日期：     年     月    日</w:t>
      </w:r>
    </w:p>
    <w:p w14:paraId="1F4C71E0">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法定代表人身份证复印件（正反面）</w:t>
      </w:r>
    </w:p>
    <w:p w14:paraId="76E044B1">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p w14:paraId="65EADAC2">
      <w:pPr>
        <w:keepNext w:val="0"/>
        <w:keepLines w:val="0"/>
        <w:pageBreakBefore w:val="0"/>
        <w:kinsoku/>
        <w:wordWrap/>
        <w:topLinePunct w:val="0"/>
        <w:autoSpaceDE/>
        <w:autoSpaceDN/>
        <w:bidi w:val="0"/>
        <w:spacing w:line="360" w:lineRule="auto"/>
        <w:ind w:firstLine="2160" w:firstLineChars="900"/>
        <w:rPr>
          <w:rFonts w:hint="eastAsia" w:ascii="宋体" w:hAnsi="宋体" w:eastAsia="宋体" w:cs="宋体"/>
          <w:sz w:val="24"/>
          <w:szCs w:val="24"/>
        </w:rPr>
      </w:pPr>
      <w:r>
        <w:rPr>
          <w:rFonts w:hint="eastAsia" w:ascii="宋体" w:hAnsi="宋体" w:eastAsia="宋体" w:cs="宋体"/>
          <w:sz w:val="24"/>
          <w:szCs w:val="24"/>
        </w:rPr>
        <w:t>（粘贴此处）</w:t>
      </w:r>
    </w:p>
    <w:p w14:paraId="2B303CB1">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p w14:paraId="32387ACD">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p w14:paraId="61BCDDE1">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被授权人身份证复印件（正反面）</w:t>
      </w:r>
    </w:p>
    <w:p w14:paraId="6AEA9ED9">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p w14:paraId="6AE87D7A">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p w14:paraId="3271FA63">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1616437C">
      <w:pPr>
        <w:keepNext w:val="0"/>
        <w:keepLines w:val="0"/>
        <w:pageBreakBefore w:val="0"/>
        <w:kinsoku/>
        <w:wordWrap/>
        <w:topLinePunct w:val="0"/>
        <w:autoSpaceDE/>
        <w:autoSpaceDN/>
        <w:bidi w:val="0"/>
        <w:spacing w:line="360" w:lineRule="auto"/>
        <w:ind w:firstLine="2280" w:firstLineChars="950"/>
        <w:rPr>
          <w:rFonts w:hint="eastAsia" w:ascii="宋体" w:hAnsi="宋体" w:eastAsia="宋体" w:cs="宋体"/>
          <w:sz w:val="24"/>
          <w:szCs w:val="24"/>
        </w:rPr>
      </w:pPr>
      <w:r>
        <w:rPr>
          <w:rFonts w:hint="eastAsia" w:ascii="宋体" w:hAnsi="宋体" w:eastAsia="宋体" w:cs="宋体"/>
          <w:sz w:val="24"/>
          <w:szCs w:val="24"/>
        </w:rPr>
        <w:t>（粘贴此处）</w:t>
      </w:r>
    </w:p>
    <w:p w14:paraId="1EE08709">
      <w:pPr>
        <w:keepNext w:val="0"/>
        <w:keepLines w:val="0"/>
        <w:pageBreakBefore w:val="0"/>
        <w:kinsoku/>
        <w:wordWrap/>
        <w:topLinePunct w:val="0"/>
        <w:autoSpaceDE/>
        <w:autoSpaceDN/>
        <w:bidi w:val="0"/>
        <w:spacing w:line="360" w:lineRule="auto"/>
        <w:ind w:firstLine="2289" w:firstLineChars="950"/>
        <w:rPr>
          <w:rFonts w:hint="eastAsia" w:ascii="宋体" w:hAnsi="宋体" w:eastAsia="宋体" w:cs="宋体"/>
          <w:b/>
          <w:bCs/>
          <w:sz w:val="24"/>
          <w:szCs w:val="24"/>
        </w:rPr>
      </w:pPr>
    </w:p>
    <w:p w14:paraId="1D038C73">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b/>
          <w:bCs/>
          <w:sz w:val="24"/>
          <w:szCs w:val="24"/>
        </w:rPr>
        <w:t>注: 如为被授权人参加竞磋时，须将身份证原件带至磋商现场备查。</w:t>
      </w:r>
    </w:p>
    <w:p w14:paraId="3E2EF32B">
      <w:pPr>
        <w:keepNext w:val="0"/>
        <w:keepLines w:val="0"/>
        <w:pageBreakBefore w:val="0"/>
        <w:kinsoku/>
        <w:wordWrap/>
        <w:topLinePunct w:val="0"/>
        <w:autoSpaceDE/>
        <w:autoSpaceDN/>
        <w:bidi w:val="0"/>
        <w:spacing w:line="360" w:lineRule="auto"/>
        <w:rPr>
          <w:rFonts w:hint="eastAsia" w:ascii="宋体" w:hAnsi="宋体" w:eastAsia="宋体" w:cs="宋体"/>
          <w:b/>
          <w:sz w:val="24"/>
          <w:szCs w:val="24"/>
        </w:rPr>
      </w:pPr>
    </w:p>
    <w:p w14:paraId="59DC0E6F">
      <w:pPr>
        <w:pStyle w:val="11"/>
        <w:keepNext w:val="0"/>
        <w:keepLines w:val="0"/>
        <w:pageBreakBefore w:val="0"/>
        <w:kinsoku/>
        <w:wordWrap/>
        <w:topLinePunct w:val="0"/>
        <w:autoSpaceDE/>
        <w:autoSpaceDN/>
        <w:bidi w:val="0"/>
        <w:spacing w:line="360" w:lineRule="auto"/>
        <w:rPr>
          <w:rFonts w:hint="eastAsia" w:ascii="宋体" w:hAnsi="宋体" w:eastAsia="宋体" w:cs="宋体"/>
          <w:b/>
          <w:sz w:val="24"/>
          <w:szCs w:val="24"/>
        </w:rPr>
      </w:pPr>
      <w:bookmarkStart w:id="17" w:name="_Toc24176"/>
      <w:bookmarkStart w:id="18" w:name="_Toc27325"/>
      <w:bookmarkStart w:id="19" w:name="_Toc14366"/>
      <w:r>
        <w:rPr>
          <w:rFonts w:hint="eastAsia" w:ascii="宋体" w:hAnsi="宋体" w:eastAsia="宋体" w:cs="宋体"/>
          <w:b/>
          <w:sz w:val="24"/>
          <w:szCs w:val="24"/>
        </w:rPr>
        <w:br w:type="page"/>
      </w:r>
      <w:r>
        <w:rPr>
          <w:rFonts w:hint="eastAsia" w:ascii="宋体" w:hAnsi="宋体" w:eastAsia="宋体" w:cs="宋体"/>
          <w:b/>
          <w:sz w:val="24"/>
          <w:szCs w:val="24"/>
        </w:rPr>
        <w:t>附件4：</w:t>
      </w:r>
      <w:bookmarkEnd w:id="17"/>
      <w:bookmarkEnd w:id="18"/>
      <w:bookmarkEnd w:id="19"/>
      <w:r>
        <w:rPr>
          <w:rFonts w:hint="eastAsia" w:ascii="宋体" w:hAnsi="宋体" w:eastAsia="宋体" w:cs="宋体"/>
          <w:b/>
          <w:sz w:val="24"/>
          <w:szCs w:val="24"/>
        </w:rPr>
        <w:t>投标人符合《政府采购法》第二十二条规定条件的声明函</w:t>
      </w:r>
    </w:p>
    <w:p w14:paraId="59D2EB1D">
      <w:pPr>
        <w:keepNext w:val="0"/>
        <w:keepLines w:val="0"/>
        <w:pageBreakBefore w:val="0"/>
        <w:kinsoku/>
        <w:wordWrap/>
        <w:topLinePunct w:val="0"/>
        <w:autoSpaceDE/>
        <w:autoSpaceDN/>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w:t>
      </w:r>
    </w:p>
    <w:p w14:paraId="0E613030">
      <w:pPr>
        <w:keepNext w:val="0"/>
        <w:keepLines w:val="0"/>
        <w:pageBreakBefore w:val="0"/>
        <w:kinsoku/>
        <w:wordWrap/>
        <w:topLinePunct w:val="0"/>
        <w:autoSpaceDE/>
        <w:autoSpaceDN/>
        <w:bidi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bCs/>
          <w:sz w:val="24"/>
          <w:szCs w:val="24"/>
        </w:rPr>
        <w:t>我单位参加</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（项目编号）投标活动。针对《中华人民共和国政府采购法》第二十二条规定做出如下声明：</w:t>
      </w:r>
    </w:p>
    <w:p w14:paraId="2B201DF1">
      <w:pPr>
        <w:keepNext w:val="0"/>
        <w:keepLines w:val="0"/>
        <w:pageBreakBefore w:val="0"/>
        <w:kinsoku/>
        <w:wordWrap/>
        <w:topLinePunct w:val="0"/>
        <w:autoSpaceDE/>
        <w:autoSpaceDN/>
        <w:bidi w:val="0"/>
        <w:spacing w:line="360" w:lineRule="auto"/>
        <w:ind w:firstLine="482"/>
        <w:rPr>
          <w:rFonts w:hint="eastAsia" w:ascii="宋体" w:hAnsi="宋体" w:eastAsia="宋体" w:cs="宋体"/>
          <w:sz w:val="24"/>
          <w:szCs w:val="24"/>
        </w:rPr>
      </w:pPr>
      <w:r>
        <w:rPr>
          <w:rFonts w:hint="eastAsia" w:ascii="宋体" w:hAnsi="宋体" w:eastAsia="宋体" w:cs="宋体"/>
          <w:bCs/>
          <w:sz w:val="24"/>
          <w:szCs w:val="24"/>
        </w:rPr>
        <w:t>1.我单位具有独立承担民事责任的能力；</w:t>
      </w:r>
    </w:p>
    <w:p w14:paraId="7A58331E">
      <w:pPr>
        <w:keepNext w:val="0"/>
        <w:keepLines w:val="0"/>
        <w:pageBreakBefore w:val="0"/>
        <w:kinsoku/>
        <w:wordWrap/>
        <w:topLinePunct w:val="0"/>
        <w:autoSpaceDE/>
        <w:autoSpaceDN/>
        <w:bidi w:val="0"/>
        <w:spacing w:line="360" w:lineRule="auto"/>
        <w:ind w:firstLine="482"/>
        <w:rPr>
          <w:rFonts w:hint="eastAsia" w:ascii="宋体" w:hAnsi="宋体" w:eastAsia="宋体" w:cs="宋体"/>
          <w:sz w:val="24"/>
          <w:szCs w:val="24"/>
        </w:rPr>
      </w:pPr>
      <w:r>
        <w:rPr>
          <w:rFonts w:hint="eastAsia" w:ascii="宋体" w:hAnsi="宋体" w:eastAsia="宋体" w:cs="宋体"/>
          <w:sz w:val="24"/>
          <w:szCs w:val="24"/>
        </w:rPr>
        <w:t>2.我单位具有良好的商业信誉和健全的财务会计制度；</w:t>
      </w:r>
    </w:p>
    <w:p w14:paraId="4B0CA104">
      <w:pPr>
        <w:keepNext w:val="0"/>
        <w:keepLines w:val="0"/>
        <w:pageBreakBefore w:val="0"/>
        <w:kinsoku/>
        <w:wordWrap/>
        <w:topLinePunct w:val="0"/>
        <w:autoSpaceDE/>
        <w:autoSpaceDN/>
        <w:bidi w:val="0"/>
        <w:spacing w:line="360" w:lineRule="auto"/>
        <w:ind w:firstLine="482"/>
        <w:rPr>
          <w:rFonts w:hint="eastAsia" w:ascii="宋体" w:hAnsi="宋体" w:eastAsia="宋体" w:cs="宋体"/>
          <w:sz w:val="24"/>
          <w:szCs w:val="24"/>
        </w:rPr>
      </w:pPr>
      <w:r>
        <w:rPr>
          <w:rFonts w:hint="eastAsia" w:ascii="宋体" w:hAnsi="宋体" w:eastAsia="宋体" w:cs="宋体"/>
          <w:sz w:val="24"/>
          <w:szCs w:val="24"/>
        </w:rPr>
        <w:t>3.我单位具有履行合同所必需的设备和专业技术能力；</w:t>
      </w:r>
    </w:p>
    <w:p w14:paraId="73FD83B0">
      <w:pPr>
        <w:keepNext w:val="0"/>
        <w:keepLines w:val="0"/>
        <w:pageBreakBefore w:val="0"/>
        <w:kinsoku/>
        <w:wordWrap/>
        <w:topLinePunct w:val="0"/>
        <w:autoSpaceDE/>
        <w:autoSpaceDN/>
        <w:bidi w:val="0"/>
        <w:spacing w:line="360" w:lineRule="auto"/>
        <w:ind w:firstLine="482"/>
        <w:rPr>
          <w:rFonts w:hint="eastAsia" w:ascii="宋体" w:hAnsi="宋体" w:eastAsia="宋体" w:cs="宋体"/>
          <w:sz w:val="24"/>
          <w:szCs w:val="24"/>
        </w:rPr>
      </w:pPr>
      <w:r>
        <w:rPr>
          <w:rFonts w:hint="eastAsia" w:ascii="宋体" w:hAnsi="宋体" w:eastAsia="宋体" w:cs="宋体"/>
          <w:sz w:val="24"/>
          <w:szCs w:val="24"/>
        </w:rPr>
        <w:t>4.我单位有依法缴纳税收和社会保障资金的良好记录；</w:t>
      </w:r>
    </w:p>
    <w:p w14:paraId="6BAE9536">
      <w:pPr>
        <w:keepNext w:val="0"/>
        <w:keepLines w:val="0"/>
        <w:pageBreakBefore w:val="0"/>
        <w:kinsoku/>
        <w:wordWrap/>
        <w:topLinePunct w:val="0"/>
        <w:autoSpaceDE/>
        <w:autoSpaceDN/>
        <w:bidi w:val="0"/>
        <w:spacing w:line="360" w:lineRule="auto"/>
        <w:ind w:firstLine="482"/>
        <w:rPr>
          <w:rFonts w:hint="eastAsia" w:ascii="宋体" w:hAnsi="宋体" w:eastAsia="宋体" w:cs="宋体"/>
          <w:sz w:val="24"/>
          <w:szCs w:val="24"/>
        </w:rPr>
      </w:pPr>
      <w:r>
        <w:rPr>
          <w:rFonts w:hint="eastAsia" w:ascii="宋体" w:hAnsi="宋体" w:eastAsia="宋体" w:cs="宋体"/>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8967A49">
      <w:pPr>
        <w:keepNext w:val="0"/>
        <w:keepLines w:val="0"/>
        <w:pageBreakBefore w:val="0"/>
        <w:kinsoku/>
        <w:wordWrap/>
        <w:topLinePunct w:val="0"/>
        <w:autoSpaceDE/>
        <w:autoSpaceDN/>
        <w:bidi w:val="0"/>
        <w:spacing w:line="360" w:lineRule="auto"/>
        <w:ind w:firstLine="482"/>
        <w:rPr>
          <w:rFonts w:hint="eastAsia" w:ascii="宋体" w:hAnsi="宋体" w:eastAsia="宋体" w:cs="宋体"/>
          <w:sz w:val="24"/>
          <w:szCs w:val="24"/>
        </w:rPr>
      </w:pPr>
      <w:r>
        <w:rPr>
          <w:rFonts w:hint="eastAsia" w:ascii="宋体" w:hAnsi="宋体" w:eastAsia="宋体" w:cs="宋体"/>
          <w:sz w:val="24"/>
          <w:szCs w:val="24"/>
        </w:rPr>
        <w:t>6.我单位满足法律、行政法规规定的其他条件。</w:t>
      </w:r>
    </w:p>
    <w:p w14:paraId="76EE81C2">
      <w:pPr>
        <w:keepNext w:val="0"/>
        <w:keepLines w:val="0"/>
        <w:pageBreakBefore w:val="0"/>
        <w:kinsoku/>
        <w:wordWrap/>
        <w:topLinePunct w:val="0"/>
        <w:autoSpaceDE/>
        <w:autoSpaceDN/>
        <w:bidi w:val="0"/>
        <w:spacing w:line="360" w:lineRule="auto"/>
        <w:ind w:firstLine="482"/>
        <w:rPr>
          <w:rFonts w:hint="eastAsia" w:ascii="宋体" w:hAnsi="宋体" w:eastAsia="宋体" w:cs="宋体"/>
          <w:sz w:val="24"/>
          <w:szCs w:val="24"/>
        </w:rPr>
      </w:pPr>
    </w:p>
    <w:p w14:paraId="255BDC41">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p w14:paraId="757C01BD">
      <w:pPr>
        <w:keepNext w:val="0"/>
        <w:keepLines w:val="0"/>
        <w:pageBreakBefore w:val="0"/>
        <w:kinsoku/>
        <w:wordWrap/>
        <w:topLinePunct w:val="0"/>
        <w:autoSpaceDE/>
        <w:autoSpaceDN/>
        <w:bidi w:val="0"/>
        <w:spacing w:line="360" w:lineRule="auto"/>
        <w:rPr>
          <w:rFonts w:hint="eastAsia" w:ascii="宋体" w:hAnsi="宋体" w:eastAsia="宋体" w:cs="宋体"/>
          <w:bCs/>
          <w:sz w:val="24"/>
          <w:szCs w:val="24"/>
        </w:rPr>
      </w:pPr>
    </w:p>
    <w:p w14:paraId="34CCEC3D">
      <w:pPr>
        <w:keepNext w:val="0"/>
        <w:keepLines w:val="0"/>
        <w:pageBreakBefore w:val="0"/>
        <w:kinsoku/>
        <w:wordWrap/>
        <w:topLinePunct w:val="0"/>
        <w:autoSpaceDE/>
        <w:autoSpaceDN/>
        <w:bidi w:val="0"/>
        <w:spacing w:line="360" w:lineRule="auto"/>
        <w:rPr>
          <w:rFonts w:hint="eastAsia" w:ascii="宋体" w:hAnsi="宋体" w:eastAsia="宋体" w:cs="宋体"/>
          <w:bCs/>
          <w:sz w:val="24"/>
          <w:szCs w:val="24"/>
        </w:rPr>
      </w:pPr>
    </w:p>
    <w:p w14:paraId="2A363A1D">
      <w:pPr>
        <w:keepNext w:val="0"/>
        <w:keepLines w:val="0"/>
        <w:pageBreakBefore w:val="0"/>
        <w:kinsoku/>
        <w:wordWrap/>
        <w:topLinePunct w:val="0"/>
        <w:autoSpaceDE/>
        <w:autoSpaceDN/>
        <w:bidi w:val="0"/>
        <w:spacing w:line="360" w:lineRule="auto"/>
        <w:rPr>
          <w:rFonts w:hint="eastAsia" w:ascii="宋体" w:hAnsi="宋体" w:eastAsia="宋体" w:cs="宋体"/>
          <w:bCs/>
          <w:sz w:val="24"/>
          <w:szCs w:val="24"/>
        </w:rPr>
      </w:pPr>
    </w:p>
    <w:p w14:paraId="4A3866DB">
      <w:pPr>
        <w:keepNext w:val="0"/>
        <w:keepLines w:val="0"/>
        <w:pageBreakBefore w:val="0"/>
        <w:kinsoku/>
        <w:wordWrap/>
        <w:topLinePunct w:val="0"/>
        <w:autoSpaceDE/>
        <w:autoSpaceDN/>
        <w:bidi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 xml:space="preserve">                                             承诺人名称（公章）：</w:t>
      </w:r>
    </w:p>
    <w:p w14:paraId="07888BCB">
      <w:pPr>
        <w:keepNext w:val="0"/>
        <w:keepLines w:val="0"/>
        <w:pageBreakBefore w:val="0"/>
        <w:kinsoku/>
        <w:wordWrap/>
        <w:topLinePunct w:val="0"/>
        <w:autoSpaceDE/>
        <w:autoSpaceDN/>
        <w:bidi w:val="0"/>
        <w:spacing w:line="360" w:lineRule="auto"/>
        <w:jc w:val="right"/>
        <w:rPr>
          <w:rFonts w:hint="eastAsia" w:ascii="宋体" w:hAnsi="宋体" w:eastAsia="宋体" w:cs="宋体"/>
          <w:bCs/>
          <w:sz w:val="24"/>
          <w:szCs w:val="24"/>
        </w:rPr>
      </w:pPr>
      <w:r>
        <w:rPr>
          <w:rFonts w:hint="eastAsia" w:ascii="宋体" w:hAnsi="宋体" w:eastAsia="宋体" w:cs="宋体"/>
          <w:bCs/>
          <w:sz w:val="24"/>
          <w:szCs w:val="24"/>
        </w:rPr>
        <w:t xml:space="preserve">    </w:t>
      </w:r>
    </w:p>
    <w:p w14:paraId="31AF8D11">
      <w:pPr>
        <w:keepNext w:val="0"/>
        <w:keepLines w:val="0"/>
        <w:pageBreakBefore w:val="0"/>
        <w:kinsoku/>
        <w:wordWrap/>
        <w:topLinePunct w:val="0"/>
        <w:autoSpaceDE/>
        <w:autoSpaceDN/>
        <w:bidi w:val="0"/>
        <w:spacing w:line="360" w:lineRule="auto"/>
        <w:jc w:val="right"/>
        <w:rPr>
          <w:rFonts w:hint="eastAsia" w:ascii="宋体" w:hAnsi="宋体" w:eastAsia="宋体" w:cs="宋体"/>
          <w:bCs/>
          <w:sz w:val="24"/>
          <w:szCs w:val="24"/>
        </w:rPr>
      </w:pPr>
      <w:r>
        <w:rPr>
          <w:rFonts w:hint="eastAsia" w:ascii="宋体" w:hAnsi="宋体" w:eastAsia="宋体" w:cs="宋体"/>
          <w:bCs/>
          <w:sz w:val="24"/>
          <w:szCs w:val="24"/>
        </w:rPr>
        <w:t xml:space="preserve">                                 日期：______年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6EC72776">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p w14:paraId="49FD9DE5">
      <w:pPr>
        <w:keepNext w:val="0"/>
        <w:keepLines w:val="0"/>
        <w:pageBreakBefore w:val="0"/>
        <w:kinsoku/>
        <w:wordWrap/>
        <w:topLinePunct w:val="0"/>
        <w:autoSpaceDE/>
        <w:autoSpaceDN/>
        <w:bidi w:val="0"/>
        <w:spacing w:line="360" w:lineRule="auto"/>
        <w:rPr>
          <w:rFonts w:hint="eastAsia" w:ascii="宋体" w:hAnsi="宋体" w:eastAsia="宋体" w:cs="宋体"/>
          <w:b/>
          <w:sz w:val="24"/>
          <w:szCs w:val="24"/>
        </w:rPr>
      </w:pPr>
    </w:p>
    <w:p w14:paraId="4C05A08A">
      <w:pPr>
        <w:keepNext w:val="0"/>
        <w:keepLines w:val="0"/>
        <w:pageBreakBefore w:val="0"/>
        <w:kinsoku/>
        <w:wordWrap/>
        <w:topLinePunct w:val="0"/>
        <w:autoSpaceDE/>
        <w:autoSpaceDN/>
        <w:bidi w:val="0"/>
        <w:spacing w:line="360" w:lineRule="auto"/>
        <w:rPr>
          <w:rFonts w:hint="eastAsia" w:ascii="宋体" w:hAnsi="宋体" w:eastAsia="宋体" w:cs="宋体"/>
          <w:b/>
          <w:sz w:val="24"/>
          <w:szCs w:val="24"/>
        </w:rPr>
      </w:pPr>
      <w:bookmarkStart w:id="20" w:name="_Toc12562"/>
      <w:bookmarkStart w:id="21" w:name="_Toc4170"/>
      <w:bookmarkStart w:id="22" w:name="_Toc2139"/>
      <w:r>
        <w:rPr>
          <w:rFonts w:hint="eastAsia" w:ascii="宋体" w:hAnsi="宋体" w:eastAsia="宋体" w:cs="宋体"/>
          <w:b/>
          <w:sz w:val="24"/>
          <w:szCs w:val="24"/>
        </w:rPr>
        <w:br w:type="page"/>
      </w:r>
      <w:r>
        <w:rPr>
          <w:rFonts w:hint="eastAsia" w:ascii="宋体" w:hAnsi="宋体" w:eastAsia="宋体" w:cs="宋体"/>
          <w:b/>
          <w:sz w:val="24"/>
          <w:szCs w:val="24"/>
        </w:rPr>
        <w:t>附件5：： 供应商参加政府采购活动前3年内在经营活动中没有重大违法记录的书面声明（格式）</w:t>
      </w:r>
      <w:bookmarkEnd w:id="20"/>
      <w:bookmarkEnd w:id="21"/>
      <w:bookmarkEnd w:id="22"/>
    </w:p>
    <w:p w14:paraId="79E6D3A2">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p>
    <w:p w14:paraId="41620981">
      <w:pPr>
        <w:keepNext w:val="0"/>
        <w:keepLines w:val="0"/>
        <w:pageBreakBefore w:val="0"/>
        <w:kinsoku/>
        <w:wordWrap/>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声明函</w:t>
      </w:r>
    </w:p>
    <w:p w14:paraId="59D8CDAA">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p>
    <w:p w14:paraId="1C6D12D0">
      <w:pPr>
        <w:keepNext w:val="0"/>
        <w:keepLines w:val="0"/>
        <w:pageBreakBefore w:val="0"/>
        <w:tabs>
          <w:tab w:val="left" w:pos="5580"/>
        </w:tabs>
        <w:kinsoku/>
        <w:wordWrap/>
        <w:topLinePunct w:val="0"/>
        <w:autoSpaceDE/>
        <w:autoSpaceDN/>
        <w:bidi w:val="0"/>
        <w:spacing w:before="120"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南通市生态环境局 </w:t>
      </w:r>
    </w:p>
    <w:p w14:paraId="31F90D72">
      <w:pPr>
        <w:keepNext w:val="0"/>
        <w:keepLines w:val="0"/>
        <w:pageBreakBefore w:val="0"/>
        <w:tabs>
          <w:tab w:val="left" w:pos="5580"/>
        </w:tabs>
        <w:kinsoku/>
        <w:wordWrap/>
        <w:topLinePunct w:val="0"/>
        <w:autoSpaceDE/>
        <w:autoSpaceDN/>
        <w:bidi w:val="0"/>
        <w:spacing w:before="120" w:line="360" w:lineRule="auto"/>
        <w:ind w:firstLine="480" w:firstLineChars="200"/>
        <w:rPr>
          <w:rFonts w:hint="eastAsia" w:ascii="宋体" w:hAnsi="宋体" w:eastAsia="宋体" w:cs="宋体"/>
          <w:sz w:val="24"/>
          <w:szCs w:val="24"/>
        </w:rPr>
      </w:pPr>
    </w:p>
    <w:p w14:paraId="5A4D0467">
      <w:pPr>
        <w:keepNext w:val="0"/>
        <w:keepLines w:val="0"/>
        <w:pageBreakBefore w:val="0"/>
        <w:tabs>
          <w:tab w:val="left" w:pos="5580"/>
        </w:tabs>
        <w:kinsoku/>
        <w:wordWrap/>
        <w:topLinePunct w:val="0"/>
        <w:autoSpaceDE/>
        <w:autoSpaceDN/>
        <w:bidi w:val="0"/>
        <w:spacing w:before="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本项目响应文件截止时间前，我公司郑重承诺在参加本项目政府采购活动前三年内，在经营活动中无重大违法记录。公司未受到刑事处罚或责令停业、吊销许可证（或执照）、较大数额罚款等行政处罚；未处于财产被接管、冻结、破产状况。</w:t>
      </w:r>
    </w:p>
    <w:p w14:paraId="6655E3ED">
      <w:pPr>
        <w:keepNext w:val="0"/>
        <w:keepLines w:val="0"/>
        <w:pageBreakBefore w:val="0"/>
        <w:tabs>
          <w:tab w:val="left" w:pos="5580"/>
        </w:tabs>
        <w:kinsoku/>
        <w:wordWrap/>
        <w:topLinePunct w:val="0"/>
        <w:autoSpaceDE/>
        <w:autoSpaceDN/>
        <w:bidi w:val="0"/>
        <w:spacing w:before="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如发现我单位提供的声明函不实时，我单位将按照《政府采购法》有关提供虚假材料的规定，接受处罚。</w:t>
      </w:r>
    </w:p>
    <w:p w14:paraId="11F77FC7">
      <w:pPr>
        <w:keepNext w:val="0"/>
        <w:keepLines w:val="0"/>
        <w:pageBreakBefore w:val="0"/>
        <w:tabs>
          <w:tab w:val="left" w:pos="5580"/>
        </w:tabs>
        <w:kinsoku/>
        <w:wordWrap/>
        <w:topLinePunct w:val="0"/>
        <w:autoSpaceDE/>
        <w:autoSpaceDN/>
        <w:bidi w:val="0"/>
        <w:spacing w:before="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14:paraId="67C4F990">
      <w:pPr>
        <w:keepNext w:val="0"/>
        <w:keepLines w:val="0"/>
        <w:pageBreakBefore w:val="0"/>
        <w:tabs>
          <w:tab w:val="left" w:pos="5580"/>
        </w:tabs>
        <w:kinsoku/>
        <w:wordWrap/>
        <w:topLinePunct w:val="0"/>
        <w:autoSpaceDE/>
        <w:autoSpaceDN/>
        <w:bidi w:val="0"/>
        <w:spacing w:before="120" w:line="360" w:lineRule="auto"/>
        <w:ind w:firstLine="480" w:firstLineChars="200"/>
        <w:rPr>
          <w:rFonts w:hint="eastAsia" w:ascii="宋体" w:hAnsi="宋体" w:eastAsia="宋体" w:cs="宋体"/>
          <w:sz w:val="24"/>
          <w:szCs w:val="24"/>
        </w:rPr>
      </w:pPr>
    </w:p>
    <w:p w14:paraId="19625409">
      <w:pPr>
        <w:keepNext w:val="0"/>
        <w:keepLines w:val="0"/>
        <w:pageBreakBefore w:val="0"/>
        <w:tabs>
          <w:tab w:val="left" w:pos="5580"/>
        </w:tabs>
        <w:kinsoku/>
        <w:wordWrap/>
        <w:topLinePunct w:val="0"/>
        <w:autoSpaceDE/>
        <w:autoSpaceDN/>
        <w:bidi w:val="0"/>
        <w:spacing w:before="120" w:line="360" w:lineRule="auto"/>
        <w:ind w:firstLine="480" w:firstLineChars="200"/>
        <w:rPr>
          <w:rFonts w:hint="eastAsia" w:ascii="宋体" w:hAnsi="宋体" w:eastAsia="宋体" w:cs="宋体"/>
          <w:sz w:val="24"/>
          <w:szCs w:val="24"/>
        </w:rPr>
      </w:pPr>
    </w:p>
    <w:p w14:paraId="5F909E33">
      <w:pPr>
        <w:keepNext w:val="0"/>
        <w:keepLines w:val="0"/>
        <w:pageBreakBefore w:val="0"/>
        <w:kinsoku/>
        <w:wordWrap/>
        <w:topLinePunct w:val="0"/>
        <w:autoSpaceDE/>
        <w:autoSpaceDN/>
        <w:bidi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供应商名称（公章）： </w:t>
      </w:r>
    </w:p>
    <w:p w14:paraId="2D926ECD">
      <w:pPr>
        <w:keepNext w:val="0"/>
        <w:keepLines w:val="0"/>
        <w:pageBreakBefore w:val="0"/>
        <w:kinsoku/>
        <w:wordWrap/>
        <w:topLinePunct w:val="0"/>
        <w:autoSpaceDE/>
        <w:autoSpaceDN/>
        <w:bidi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法定代表人或其委托代理人（签字或加盖人名章）：</w:t>
      </w:r>
    </w:p>
    <w:p w14:paraId="5F63AB1B">
      <w:pPr>
        <w:keepNext w:val="0"/>
        <w:keepLines w:val="0"/>
        <w:pageBreakBefore w:val="0"/>
        <w:kinsoku/>
        <w:wordWrap/>
        <w:topLinePunct w:val="0"/>
        <w:autoSpaceDE/>
        <w:autoSpaceDN/>
        <w:bidi w:val="0"/>
        <w:spacing w:before="120" w:after="120" w:line="360" w:lineRule="auto"/>
        <w:ind w:firstLine="480" w:firstLineChars="200"/>
        <w:rPr>
          <w:rFonts w:hint="eastAsia" w:ascii="宋体" w:hAnsi="宋体" w:eastAsia="宋体" w:cs="宋体"/>
          <w:sz w:val="24"/>
          <w:szCs w:val="24"/>
        </w:rPr>
        <w:sectPr>
          <w:headerReference r:id="rId5" w:type="default"/>
          <w:footerReference r:id="rId6" w:type="default"/>
          <w:pgSz w:w="11906" w:h="16838"/>
          <w:pgMar w:top="1191" w:right="1247" w:bottom="1247" w:left="1701" w:header="851" w:footer="992" w:gutter="0"/>
          <w:cols w:space="720" w:num="1"/>
          <w:docGrid w:linePitch="312" w:charSpace="0"/>
        </w:sectPr>
      </w:pPr>
      <w:r>
        <w:rPr>
          <w:rFonts w:hint="eastAsia" w:ascii="宋体" w:hAnsi="宋体" w:eastAsia="宋体" w:cs="宋体"/>
          <w:sz w:val="24"/>
          <w:szCs w:val="24"/>
        </w:rPr>
        <w:t>日    期：     年   月    日</w:t>
      </w:r>
    </w:p>
    <w:p w14:paraId="11178541">
      <w:pPr>
        <w:keepNext w:val="0"/>
        <w:keepLines w:val="0"/>
        <w:pageBreakBefore w:val="0"/>
        <w:kinsoku/>
        <w:wordWrap/>
        <w:topLinePunct w:val="0"/>
        <w:autoSpaceDE/>
        <w:autoSpaceDN/>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附件6:  竞争性磋商响应函</w:t>
      </w:r>
    </w:p>
    <w:p w14:paraId="21C99653">
      <w:pPr>
        <w:keepNext w:val="0"/>
        <w:keepLines w:val="0"/>
        <w:pageBreakBefore w:val="0"/>
        <w:kinsoku/>
        <w:wordWrap/>
        <w:topLinePunct w:val="0"/>
        <w:autoSpaceDE/>
        <w:autoSpaceDN/>
        <w:bidi w:val="0"/>
        <w:snapToGrid w:val="0"/>
        <w:spacing w:line="360" w:lineRule="auto"/>
        <w:ind w:firstLine="482" w:firstLineChars="200"/>
        <w:jc w:val="center"/>
        <w:rPr>
          <w:rFonts w:hint="eastAsia" w:ascii="宋体" w:hAnsi="宋体" w:eastAsia="宋体" w:cs="宋体"/>
          <w:b/>
          <w:sz w:val="24"/>
          <w:szCs w:val="24"/>
        </w:rPr>
      </w:pPr>
    </w:p>
    <w:p w14:paraId="40D5D817">
      <w:pPr>
        <w:keepNext w:val="0"/>
        <w:keepLines w:val="0"/>
        <w:pageBreakBefore w:val="0"/>
        <w:kinsoku/>
        <w:wordWrap/>
        <w:topLinePunct w:val="0"/>
        <w:autoSpaceDE/>
        <w:autoSpaceDN/>
        <w:bidi w:val="0"/>
        <w:snapToGrid w:val="0"/>
        <w:spacing w:line="360" w:lineRule="auto"/>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竞争性磋商响应函</w:t>
      </w:r>
    </w:p>
    <w:p w14:paraId="70E9CC9A">
      <w:pPr>
        <w:keepNext w:val="0"/>
        <w:keepLines w:val="0"/>
        <w:pageBreakBefore w:val="0"/>
        <w:kinsoku/>
        <w:wordWrap/>
        <w:topLinePunct w:val="0"/>
        <w:autoSpaceDE/>
        <w:autoSpaceDN/>
        <w:bidi w:val="0"/>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南通市生态环境局：</w:t>
      </w:r>
    </w:p>
    <w:p w14:paraId="7D6958FF">
      <w:pPr>
        <w:keepNext w:val="0"/>
        <w:keepLines w:val="0"/>
        <w:pageBreakBefore w:val="0"/>
        <w:kinsoku/>
        <w:wordWrap/>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依据贵单位委托代理机构组织的</w:t>
      </w:r>
      <w:r>
        <w:rPr>
          <w:rFonts w:hint="eastAsia" w:ascii="宋体" w:hAnsi="宋体" w:eastAsia="宋体" w:cs="宋体"/>
          <w:sz w:val="24"/>
          <w:szCs w:val="24"/>
          <w:u w:val="single"/>
        </w:rPr>
        <w:t xml:space="preserve">               </w:t>
      </w:r>
      <w:r>
        <w:rPr>
          <w:rFonts w:hint="eastAsia" w:ascii="宋体" w:hAnsi="宋体" w:eastAsia="宋体" w:cs="宋体"/>
          <w:sz w:val="24"/>
          <w:szCs w:val="24"/>
        </w:rPr>
        <w:t>（磋商项目名称）项目竞争性磋商的邀请，我方授权</w:t>
      </w:r>
      <w:r>
        <w:rPr>
          <w:rFonts w:hint="eastAsia" w:ascii="宋体" w:hAnsi="宋体" w:eastAsia="宋体" w:cs="宋体"/>
          <w:sz w:val="24"/>
          <w:szCs w:val="24"/>
          <w:u w:val="single"/>
        </w:rPr>
        <w:t xml:space="preserve">    </w:t>
      </w: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（职务）为全权代表参加该项目的磋商工作，全权处理本次竞争性磋商的有关事宜。同时，我公司声明如下：</w:t>
      </w:r>
    </w:p>
    <w:p w14:paraId="3AF0617D">
      <w:pPr>
        <w:keepNext w:val="0"/>
        <w:keepLines w:val="0"/>
        <w:pageBreakBefore w:val="0"/>
        <w:kinsoku/>
        <w:wordWrap/>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1、同意并接受竞争性磋商文件的各项要求，遵守竞争性磋商文件中的各项规定，按竞争性磋商文件的要求提供报价。</w:t>
      </w:r>
    </w:p>
    <w:p w14:paraId="21005E45">
      <w:pPr>
        <w:keepNext w:val="0"/>
        <w:keepLines w:val="0"/>
        <w:pageBreakBefore w:val="0"/>
        <w:kinsoku/>
        <w:wordWrap/>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14:paraId="1798FB7A">
      <w:pPr>
        <w:keepNext w:val="0"/>
        <w:keepLines w:val="0"/>
        <w:pageBreakBefore w:val="0"/>
        <w:kinsoku/>
        <w:wordWrap/>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3、我公司已毫无保留地向贵方提供一切所需的证明材料。</w:t>
      </w:r>
    </w:p>
    <w:p w14:paraId="17B65C27">
      <w:pPr>
        <w:keepNext w:val="0"/>
        <w:keepLines w:val="0"/>
        <w:pageBreakBefore w:val="0"/>
        <w:kinsoku/>
        <w:wordWrap/>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4、我公司承诺在本次磋商响应中提供的一切文件，无论是原件还是复印件均真实有效，绝无任何虚假、伪造和夸大的成份。否则，愿承担相应的后果和法律责任。</w:t>
      </w:r>
    </w:p>
    <w:p w14:paraId="004A9052">
      <w:pPr>
        <w:keepNext w:val="0"/>
        <w:keepLines w:val="0"/>
        <w:pageBreakBefore w:val="0"/>
        <w:kinsoku/>
        <w:wordWrap/>
        <w:topLinePunct w:val="0"/>
        <w:autoSpaceDE/>
        <w:autoSpaceDN/>
        <w:bidi w:val="0"/>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5、</w:t>
      </w:r>
      <w:r>
        <w:rPr>
          <w:rFonts w:hint="eastAsia" w:ascii="宋体" w:hAnsi="宋体" w:eastAsia="宋体" w:cs="宋体"/>
          <w:b/>
          <w:sz w:val="24"/>
          <w:szCs w:val="24"/>
        </w:rPr>
        <w:t>我公司尊重磋商小组所作的评定结果，同时清楚理解到报价最低并非意味着必定获得成交资格。</w:t>
      </w:r>
    </w:p>
    <w:p w14:paraId="70BCFD16">
      <w:pPr>
        <w:keepNext w:val="0"/>
        <w:keepLines w:val="0"/>
        <w:pageBreakBefore w:val="0"/>
        <w:kinsoku/>
        <w:wordWrap/>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6、一旦成交，我方承诺无正当理由拒绝签订合同，将被贵方取消成交资格，同意向贵方支付成交金额的2%作为违约金。</w:t>
      </w:r>
    </w:p>
    <w:p w14:paraId="210CC4DF">
      <w:pPr>
        <w:keepNext w:val="0"/>
        <w:keepLines w:val="0"/>
        <w:pageBreakBefore w:val="0"/>
        <w:kinsoku/>
        <w:wordWrap/>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7、一旦成交，我方将根据竞争性磋商文件的规定，严格履行合同规定的责任和义务。否则，我方同意无条件接受贵单位终止合同的要求。</w:t>
      </w:r>
    </w:p>
    <w:p w14:paraId="7426062E">
      <w:pPr>
        <w:pStyle w:val="2"/>
        <w:keepNext w:val="0"/>
        <w:keepLines w:val="0"/>
        <w:pageBreakBefore w:val="0"/>
        <w:kinsoku/>
        <w:wordWrap/>
        <w:topLinePunct w:val="0"/>
        <w:autoSpaceDE/>
        <w:autoSpaceDN/>
        <w:bidi w:val="0"/>
        <w:spacing w:line="360" w:lineRule="auto"/>
        <w:ind w:left="480" w:firstLine="480"/>
        <w:rPr>
          <w:rFonts w:hint="eastAsia" w:ascii="宋体" w:hAnsi="宋体" w:eastAsia="宋体" w:cs="宋体"/>
          <w:sz w:val="24"/>
          <w:szCs w:val="24"/>
        </w:rPr>
      </w:pPr>
    </w:p>
    <w:p w14:paraId="0F6C511D">
      <w:pPr>
        <w:keepNext w:val="0"/>
        <w:keepLines w:val="0"/>
        <w:pageBreakBefore w:val="0"/>
        <w:kinsoku/>
        <w:wordWrap/>
        <w:topLinePunct w:val="0"/>
        <w:autoSpaceDE/>
        <w:autoSpaceDN/>
        <w:bidi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供应商名称（公章）： </w:t>
      </w:r>
    </w:p>
    <w:p w14:paraId="1DA805D6">
      <w:pPr>
        <w:keepNext w:val="0"/>
        <w:keepLines w:val="0"/>
        <w:pageBreakBefore w:val="0"/>
        <w:kinsoku/>
        <w:wordWrap/>
        <w:topLinePunct w:val="0"/>
        <w:autoSpaceDE/>
        <w:autoSpaceDN/>
        <w:bidi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法定代表人或其委托代理人（签字或加盖人名章）：</w:t>
      </w:r>
    </w:p>
    <w:p w14:paraId="33820C01">
      <w:pPr>
        <w:keepNext w:val="0"/>
        <w:keepLines w:val="0"/>
        <w:pageBreakBefore w:val="0"/>
        <w:kinsoku/>
        <w:wordWrap/>
        <w:topLinePunct w:val="0"/>
        <w:autoSpaceDE/>
        <w:autoSpaceDN/>
        <w:bidi w:val="0"/>
        <w:spacing w:before="120" w:after="1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    期：     年   月    日</w:t>
      </w:r>
    </w:p>
    <w:p w14:paraId="323F635E">
      <w:pPr>
        <w:pStyle w:val="10"/>
        <w:keepNext w:val="0"/>
        <w:keepLines w:val="0"/>
        <w:pageBreakBefore w:val="0"/>
        <w:kinsoku/>
        <w:wordWrap/>
        <w:topLinePunct w:val="0"/>
        <w:autoSpaceDE/>
        <w:autoSpaceDN/>
        <w:bidi w:val="0"/>
        <w:snapToGrid w:val="0"/>
        <w:spacing w:line="360" w:lineRule="auto"/>
        <w:ind w:firstLine="0" w:firstLineChars="0"/>
        <w:contextualSpacing/>
        <w:rPr>
          <w:rFonts w:hint="eastAsia" w:ascii="宋体" w:hAnsi="宋体" w:eastAsia="宋体" w:cs="宋体"/>
          <w:b/>
          <w:color w:val="000000"/>
          <w:sz w:val="24"/>
          <w:szCs w:val="24"/>
        </w:rPr>
      </w:pPr>
    </w:p>
    <w:p w14:paraId="512E8177">
      <w:pPr>
        <w:keepNext w:val="0"/>
        <w:keepLines w:val="0"/>
        <w:pageBreakBefore w:val="0"/>
        <w:kinsoku/>
        <w:wordWrap/>
        <w:topLinePunct w:val="0"/>
        <w:autoSpaceDE/>
        <w:autoSpaceDN/>
        <w:bidi w:val="0"/>
        <w:spacing w:line="360" w:lineRule="auto"/>
        <w:rPr>
          <w:rFonts w:hint="eastAsia"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附件7:供应商情况一览表</w:t>
      </w:r>
    </w:p>
    <w:p w14:paraId="4F46F503">
      <w:pPr>
        <w:keepNext w:val="0"/>
        <w:keepLines w:val="0"/>
        <w:pageBreakBefore w:val="0"/>
        <w:kinsoku/>
        <w:wordWrap/>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情况一览表</w:t>
      </w:r>
    </w:p>
    <w:tbl>
      <w:tblPr>
        <w:tblStyle w:val="8"/>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851"/>
        <w:gridCol w:w="708"/>
        <w:gridCol w:w="1561"/>
        <w:gridCol w:w="1135"/>
        <w:gridCol w:w="851"/>
        <w:gridCol w:w="141"/>
        <w:gridCol w:w="271"/>
        <w:gridCol w:w="1002"/>
        <w:gridCol w:w="271"/>
        <w:gridCol w:w="1150"/>
        <w:gridCol w:w="851"/>
      </w:tblGrid>
      <w:tr w14:paraId="7A1A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6" w:type="dxa"/>
            <w:gridSpan w:val="2"/>
            <w:noWrap w:val="0"/>
            <w:vAlign w:val="center"/>
          </w:tcPr>
          <w:p w14:paraId="1666A77F">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单位名称</w:t>
            </w:r>
          </w:p>
        </w:tc>
        <w:tc>
          <w:tcPr>
            <w:tcW w:w="7941" w:type="dxa"/>
            <w:gridSpan w:val="10"/>
            <w:noWrap w:val="0"/>
            <w:vAlign w:val="center"/>
          </w:tcPr>
          <w:p w14:paraId="107F52C1">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r w14:paraId="2D95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4" w:type="dxa"/>
            <w:gridSpan w:val="3"/>
            <w:noWrap w:val="0"/>
            <w:vAlign w:val="center"/>
          </w:tcPr>
          <w:p w14:paraId="5384E8B7">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单位优势及特长</w:t>
            </w:r>
          </w:p>
        </w:tc>
        <w:tc>
          <w:tcPr>
            <w:tcW w:w="7233" w:type="dxa"/>
            <w:gridSpan w:val="9"/>
            <w:noWrap w:val="0"/>
            <w:vAlign w:val="center"/>
          </w:tcPr>
          <w:p w14:paraId="1512A4D4">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r w14:paraId="4693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restart"/>
            <w:noWrap w:val="0"/>
            <w:vAlign w:val="center"/>
          </w:tcPr>
          <w:p w14:paraId="011B059A">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单位</w:t>
            </w:r>
          </w:p>
          <w:p w14:paraId="43D68DC3">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概况</w:t>
            </w:r>
          </w:p>
        </w:tc>
        <w:tc>
          <w:tcPr>
            <w:tcW w:w="1559" w:type="dxa"/>
            <w:gridSpan w:val="2"/>
            <w:noWrap w:val="0"/>
            <w:vAlign w:val="center"/>
          </w:tcPr>
          <w:p w14:paraId="06982957">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职工总数</w:t>
            </w:r>
          </w:p>
        </w:tc>
        <w:tc>
          <w:tcPr>
            <w:tcW w:w="1561" w:type="dxa"/>
            <w:noWrap w:val="0"/>
            <w:vAlign w:val="center"/>
          </w:tcPr>
          <w:p w14:paraId="753F6111">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人</w:t>
            </w:r>
          </w:p>
        </w:tc>
        <w:tc>
          <w:tcPr>
            <w:tcW w:w="1135" w:type="dxa"/>
            <w:vMerge w:val="restart"/>
            <w:noWrap w:val="0"/>
            <w:vAlign w:val="center"/>
          </w:tcPr>
          <w:p w14:paraId="363B1625">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上一年主要经济指标</w:t>
            </w:r>
          </w:p>
        </w:tc>
        <w:tc>
          <w:tcPr>
            <w:tcW w:w="992" w:type="dxa"/>
            <w:gridSpan w:val="2"/>
            <w:noWrap w:val="0"/>
            <w:vAlign w:val="center"/>
          </w:tcPr>
          <w:p w14:paraId="040AA5AD">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营业额</w:t>
            </w:r>
          </w:p>
        </w:tc>
        <w:tc>
          <w:tcPr>
            <w:tcW w:w="1273" w:type="dxa"/>
            <w:gridSpan w:val="2"/>
            <w:noWrap w:val="0"/>
            <w:vAlign w:val="center"/>
          </w:tcPr>
          <w:p w14:paraId="267E9580">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421" w:type="dxa"/>
            <w:gridSpan w:val="2"/>
            <w:noWrap w:val="0"/>
            <w:vAlign w:val="center"/>
          </w:tcPr>
          <w:p w14:paraId="1F94728B">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实现利润</w:t>
            </w:r>
          </w:p>
        </w:tc>
        <w:tc>
          <w:tcPr>
            <w:tcW w:w="851" w:type="dxa"/>
            <w:noWrap w:val="0"/>
            <w:vAlign w:val="center"/>
          </w:tcPr>
          <w:p w14:paraId="2D6ACFDD">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r w14:paraId="5F48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noWrap w:val="0"/>
            <w:vAlign w:val="center"/>
          </w:tcPr>
          <w:p w14:paraId="690F0BEA">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559" w:type="dxa"/>
            <w:gridSpan w:val="2"/>
            <w:noWrap w:val="0"/>
            <w:vAlign w:val="center"/>
          </w:tcPr>
          <w:p w14:paraId="3AB9E186">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流动资金</w:t>
            </w:r>
          </w:p>
        </w:tc>
        <w:tc>
          <w:tcPr>
            <w:tcW w:w="1561" w:type="dxa"/>
            <w:noWrap w:val="0"/>
            <w:vAlign w:val="center"/>
          </w:tcPr>
          <w:p w14:paraId="20CB40FC">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万元</w:t>
            </w:r>
          </w:p>
        </w:tc>
        <w:tc>
          <w:tcPr>
            <w:tcW w:w="1135" w:type="dxa"/>
            <w:vMerge w:val="continue"/>
            <w:noWrap w:val="0"/>
            <w:vAlign w:val="center"/>
          </w:tcPr>
          <w:p w14:paraId="7ED747B9">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992" w:type="dxa"/>
            <w:gridSpan w:val="2"/>
            <w:vMerge w:val="restart"/>
            <w:noWrap w:val="0"/>
            <w:vAlign w:val="center"/>
          </w:tcPr>
          <w:p w14:paraId="6CBBDEFA">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主要</w:t>
            </w:r>
          </w:p>
          <w:p w14:paraId="1B5C0EE1">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产品</w:t>
            </w:r>
          </w:p>
        </w:tc>
        <w:tc>
          <w:tcPr>
            <w:tcW w:w="3545" w:type="dxa"/>
            <w:gridSpan w:val="5"/>
            <w:noWrap w:val="0"/>
            <w:vAlign w:val="center"/>
          </w:tcPr>
          <w:p w14:paraId="5CB6D864">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1.</w:t>
            </w:r>
          </w:p>
        </w:tc>
      </w:tr>
      <w:tr w14:paraId="0DD0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815" w:type="dxa"/>
            <w:vMerge w:val="continue"/>
            <w:noWrap w:val="0"/>
            <w:vAlign w:val="center"/>
          </w:tcPr>
          <w:p w14:paraId="5561F23A">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559" w:type="dxa"/>
            <w:gridSpan w:val="2"/>
            <w:noWrap w:val="0"/>
            <w:vAlign w:val="center"/>
          </w:tcPr>
          <w:p w14:paraId="1C02BB8B">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固定资产</w:t>
            </w:r>
          </w:p>
          <w:p w14:paraId="2FCF307E">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（万元）</w:t>
            </w:r>
          </w:p>
        </w:tc>
        <w:tc>
          <w:tcPr>
            <w:tcW w:w="1561" w:type="dxa"/>
            <w:noWrap w:val="0"/>
            <w:vAlign w:val="center"/>
          </w:tcPr>
          <w:p w14:paraId="7223489E">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原值：</w:t>
            </w:r>
          </w:p>
          <w:p w14:paraId="6C51FA01">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净值：</w:t>
            </w:r>
          </w:p>
        </w:tc>
        <w:tc>
          <w:tcPr>
            <w:tcW w:w="1135" w:type="dxa"/>
            <w:vMerge w:val="continue"/>
            <w:noWrap w:val="0"/>
            <w:vAlign w:val="center"/>
          </w:tcPr>
          <w:p w14:paraId="32E36652">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992" w:type="dxa"/>
            <w:gridSpan w:val="2"/>
            <w:vMerge w:val="continue"/>
            <w:noWrap w:val="0"/>
            <w:vAlign w:val="center"/>
          </w:tcPr>
          <w:p w14:paraId="597C85D6">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3545" w:type="dxa"/>
            <w:gridSpan w:val="5"/>
            <w:noWrap w:val="0"/>
            <w:vAlign w:val="center"/>
          </w:tcPr>
          <w:p w14:paraId="40751319">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2.</w:t>
            </w:r>
          </w:p>
        </w:tc>
      </w:tr>
      <w:tr w14:paraId="1159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noWrap w:val="0"/>
            <w:vAlign w:val="center"/>
          </w:tcPr>
          <w:p w14:paraId="111A6BC4">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559" w:type="dxa"/>
            <w:gridSpan w:val="2"/>
            <w:noWrap w:val="0"/>
            <w:vAlign w:val="center"/>
          </w:tcPr>
          <w:p w14:paraId="40B9EAAF">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占地面积</w:t>
            </w:r>
          </w:p>
        </w:tc>
        <w:tc>
          <w:tcPr>
            <w:tcW w:w="1561" w:type="dxa"/>
            <w:noWrap w:val="0"/>
            <w:vAlign w:val="center"/>
          </w:tcPr>
          <w:p w14:paraId="456156DA">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M2</w:t>
            </w:r>
          </w:p>
        </w:tc>
        <w:tc>
          <w:tcPr>
            <w:tcW w:w="1135" w:type="dxa"/>
            <w:vMerge w:val="continue"/>
            <w:noWrap w:val="0"/>
            <w:vAlign w:val="center"/>
          </w:tcPr>
          <w:p w14:paraId="5AB3014A">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992" w:type="dxa"/>
            <w:gridSpan w:val="2"/>
            <w:vMerge w:val="continue"/>
            <w:noWrap w:val="0"/>
            <w:vAlign w:val="center"/>
          </w:tcPr>
          <w:p w14:paraId="2BF7E6BE">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3545" w:type="dxa"/>
            <w:gridSpan w:val="5"/>
            <w:noWrap w:val="0"/>
            <w:vAlign w:val="center"/>
          </w:tcPr>
          <w:p w14:paraId="10E15AC2">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3.</w:t>
            </w:r>
          </w:p>
        </w:tc>
      </w:tr>
      <w:tr w14:paraId="6641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restart"/>
            <w:noWrap w:val="0"/>
            <w:vAlign w:val="center"/>
          </w:tcPr>
          <w:p w14:paraId="771559B9">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本次</w:t>
            </w:r>
          </w:p>
          <w:p w14:paraId="2AC69153">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响应</w:t>
            </w:r>
          </w:p>
          <w:p w14:paraId="2F77E849">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产品</w:t>
            </w:r>
          </w:p>
          <w:p w14:paraId="791FD0AA">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情况</w:t>
            </w:r>
          </w:p>
        </w:tc>
        <w:tc>
          <w:tcPr>
            <w:tcW w:w="1559" w:type="dxa"/>
            <w:gridSpan w:val="2"/>
            <w:noWrap w:val="0"/>
            <w:vAlign w:val="center"/>
          </w:tcPr>
          <w:p w14:paraId="4D5DED13">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本次响应产品名称</w:t>
            </w:r>
          </w:p>
        </w:tc>
        <w:tc>
          <w:tcPr>
            <w:tcW w:w="1561" w:type="dxa"/>
            <w:noWrap w:val="0"/>
            <w:vAlign w:val="center"/>
          </w:tcPr>
          <w:p w14:paraId="61A4407A">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型    号</w:t>
            </w:r>
          </w:p>
        </w:tc>
        <w:tc>
          <w:tcPr>
            <w:tcW w:w="1135" w:type="dxa"/>
            <w:noWrap w:val="0"/>
            <w:vAlign w:val="center"/>
          </w:tcPr>
          <w:p w14:paraId="4C7FE3BF">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上年产销量</w:t>
            </w:r>
          </w:p>
        </w:tc>
        <w:tc>
          <w:tcPr>
            <w:tcW w:w="1263" w:type="dxa"/>
            <w:gridSpan w:val="3"/>
            <w:noWrap w:val="0"/>
            <w:vAlign w:val="center"/>
          </w:tcPr>
          <w:p w14:paraId="5A4BEF07">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产品技术</w:t>
            </w:r>
          </w:p>
          <w:p w14:paraId="3B35B1CB">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先进水平</w:t>
            </w:r>
          </w:p>
        </w:tc>
        <w:tc>
          <w:tcPr>
            <w:tcW w:w="1273" w:type="dxa"/>
            <w:gridSpan w:val="2"/>
            <w:noWrap w:val="0"/>
            <w:vAlign w:val="center"/>
          </w:tcPr>
          <w:p w14:paraId="6A4BDD8B">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曾获何级</w:t>
            </w:r>
          </w:p>
          <w:p w14:paraId="56D06F4D">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何种奖励</w:t>
            </w:r>
          </w:p>
        </w:tc>
        <w:tc>
          <w:tcPr>
            <w:tcW w:w="2001" w:type="dxa"/>
            <w:gridSpan w:val="2"/>
            <w:noWrap w:val="0"/>
            <w:vAlign w:val="center"/>
          </w:tcPr>
          <w:p w14:paraId="16371E4F">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主要用户名称</w:t>
            </w:r>
          </w:p>
        </w:tc>
      </w:tr>
      <w:tr w14:paraId="4535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noWrap w:val="0"/>
            <w:vAlign w:val="center"/>
          </w:tcPr>
          <w:p w14:paraId="40F44299">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559" w:type="dxa"/>
            <w:gridSpan w:val="2"/>
            <w:noWrap w:val="0"/>
            <w:vAlign w:val="center"/>
          </w:tcPr>
          <w:p w14:paraId="7D194BD7">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561" w:type="dxa"/>
            <w:noWrap w:val="0"/>
            <w:vAlign w:val="center"/>
          </w:tcPr>
          <w:p w14:paraId="3DAB5B61">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135" w:type="dxa"/>
            <w:noWrap w:val="0"/>
            <w:vAlign w:val="center"/>
          </w:tcPr>
          <w:p w14:paraId="27677BB1">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263" w:type="dxa"/>
            <w:gridSpan w:val="3"/>
            <w:noWrap w:val="0"/>
            <w:vAlign w:val="center"/>
          </w:tcPr>
          <w:p w14:paraId="3CAF171C">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273" w:type="dxa"/>
            <w:gridSpan w:val="2"/>
            <w:noWrap w:val="0"/>
            <w:vAlign w:val="center"/>
          </w:tcPr>
          <w:p w14:paraId="1A0128D6">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001" w:type="dxa"/>
            <w:gridSpan w:val="2"/>
            <w:noWrap w:val="0"/>
            <w:vAlign w:val="center"/>
          </w:tcPr>
          <w:p w14:paraId="7AC38C7F">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r w14:paraId="7AC6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noWrap w:val="0"/>
            <w:vAlign w:val="center"/>
          </w:tcPr>
          <w:p w14:paraId="2D0350FB">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559" w:type="dxa"/>
            <w:gridSpan w:val="2"/>
            <w:noWrap w:val="0"/>
            <w:vAlign w:val="center"/>
          </w:tcPr>
          <w:p w14:paraId="54C0472B">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561" w:type="dxa"/>
            <w:noWrap w:val="0"/>
            <w:vAlign w:val="center"/>
          </w:tcPr>
          <w:p w14:paraId="14CDD530">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135" w:type="dxa"/>
            <w:noWrap w:val="0"/>
            <w:vAlign w:val="center"/>
          </w:tcPr>
          <w:p w14:paraId="5740802C">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263" w:type="dxa"/>
            <w:gridSpan w:val="3"/>
            <w:noWrap w:val="0"/>
            <w:vAlign w:val="center"/>
          </w:tcPr>
          <w:p w14:paraId="239CEFC3">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273" w:type="dxa"/>
            <w:gridSpan w:val="2"/>
            <w:noWrap w:val="0"/>
            <w:vAlign w:val="center"/>
          </w:tcPr>
          <w:p w14:paraId="0ECAD0A5">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001" w:type="dxa"/>
            <w:gridSpan w:val="2"/>
            <w:noWrap w:val="0"/>
            <w:vAlign w:val="center"/>
          </w:tcPr>
          <w:p w14:paraId="00DC7384">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r w14:paraId="0D22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noWrap w:val="0"/>
            <w:vAlign w:val="center"/>
          </w:tcPr>
          <w:p w14:paraId="2A6FB8B9">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559" w:type="dxa"/>
            <w:gridSpan w:val="2"/>
            <w:noWrap w:val="0"/>
            <w:vAlign w:val="center"/>
          </w:tcPr>
          <w:p w14:paraId="4A9DB5CB">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561" w:type="dxa"/>
            <w:noWrap w:val="0"/>
            <w:vAlign w:val="center"/>
          </w:tcPr>
          <w:p w14:paraId="2E019151">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135" w:type="dxa"/>
            <w:noWrap w:val="0"/>
            <w:vAlign w:val="center"/>
          </w:tcPr>
          <w:p w14:paraId="31EA9599">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263" w:type="dxa"/>
            <w:gridSpan w:val="3"/>
            <w:noWrap w:val="0"/>
            <w:vAlign w:val="center"/>
          </w:tcPr>
          <w:p w14:paraId="12F62FC5">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273" w:type="dxa"/>
            <w:gridSpan w:val="2"/>
            <w:noWrap w:val="0"/>
            <w:vAlign w:val="center"/>
          </w:tcPr>
          <w:p w14:paraId="365E7A2A">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001" w:type="dxa"/>
            <w:gridSpan w:val="2"/>
            <w:noWrap w:val="0"/>
            <w:vAlign w:val="center"/>
          </w:tcPr>
          <w:p w14:paraId="119B93F2">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r w14:paraId="4157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continue"/>
            <w:noWrap w:val="0"/>
            <w:vAlign w:val="center"/>
          </w:tcPr>
          <w:p w14:paraId="1B3B99AA">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559" w:type="dxa"/>
            <w:gridSpan w:val="2"/>
            <w:noWrap w:val="0"/>
            <w:vAlign w:val="center"/>
          </w:tcPr>
          <w:p w14:paraId="2307DC11">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561" w:type="dxa"/>
            <w:noWrap w:val="0"/>
            <w:vAlign w:val="center"/>
          </w:tcPr>
          <w:p w14:paraId="57FDBA73">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135" w:type="dxa"/>
            <w:noWrap w:val="0"/>
            <w:vAlign w:val="center"/>
          </w:tcPr>
          <w:p w14:paraId="4393DA06">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263" w:type="dxa"/>
            <w:gridSpan w:val="3"/>
            <w:noWrap w:val="0"/>
            <w:vAlign w:val="center"/>
          </w:tcPr>
          <w:p w14:paraId="063A90A1">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273" w:type="dxa"/>
            <w:gridSpan w:val="2"/>
            <w:noWrap w:val="0"/>
            <w:vAlign w:val="center"/>
          </w:tcPr>
          <w:p w14:paraId="4D46FD2F">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001" w:type="dxa"/>
            <w:gridSpan w:val="2"/>
            <w:noWrap w:val="0"/>
            <w:vAlign w:val="center"/>
          </w:tcPr>
          <w:p w14:paraId="6A36A78C">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r w14:paraId="38BF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5" w:type="dxa"/>
            <w:vMerge w:val="restart"/>
            <w:noWrap w:val="0"/>
            <w:vAlign w:val="center"/>
          </w:tcPr>
          <w:p w14:paraId="727B7C14">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其它</w:t>
            </w:r>
          </w:p>
        </w:tc>
        <w:tc>
          <w:tcPr>
            <w:tcW w:w="5106" w:type="dxa"/>
            <w:gridSpan w:val="5"/>
            <w:noWrap w:val="0"/>
            <w:vAlign w:val="center"/>
          </w:tcPr>
          <w:p w14:paraId="365C3100">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响应资格将被取消）。</w:t>
            </w:r>
          </w:p>
        </w:tc>
        <w:tc>
          <w:tcPr>
            <w:tcW w:w="3686" w:type="dxa"/>
            <w:gridSpan w:val="6"/>
            <w:noWrap w:val="0"/>
            <w:vAlign w:val="center"/>
          </w:tcPr>
          <w:p w14:paraId="14DC70CE">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如有名称变更（非因该单位出现了与资格预审（如果经此程序）时的营业性质的根本改变以至不再满足本次磋商的要求），说明原名称因何种原因变更为现名称，并提供由市场监督管理部门出具的变更证明文件。</w:t>
            </w:r>
          </w:p>
        </w:tc>
      </w:tr>
      <w:tr w14:paraId="2B4C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815" w:type="dxa"/>
            <w:vMerge w:val="continue"/>
            <w:noWrap w:val="0"/>
            <w:vAlign w:val="center"/>
          </w:tcPr>
          <w:p w14:paraId="77583FAB">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5106" w:type="dxa"/>
            <w:gridSpan w:val="5"/>
            <w:noWrap w:val="0"/>
            <w:vAlign w:val="center"/>
          </w:tcPr>
          <w:p w14:paraId="1911F703">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3686" w:type="dxa"/>
            <w:gridSpan w:val="6"/>
            <w:noWrap w:val="0"/>
            <w:vAlign w:val="center"/>
          </w:tcPr>
          <w:p w14:paraId="05AD2715">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bl>
    <w:p w14:paraId="7C8DB5A3">
      <w:pPr>
        <w:keepNext w:val="0"/>
        <w:keepLines w:val="0"/>
        <w:pageBreakBefore w:val="0"/>
        <w:widowControl/>
        <w:kinsoku/>
        <w:wordWrap/>
        <w:topLinePunct w:val="0"/>
        <w:autoSpaceDE/>
        <w:autoSpaceDN/>
        <w:bidi w:val="0"/>
        <w:spacing w:line="360" w:lineRule="auto"/>
        <w:jc w:val="left"/>
        <w:rPr>
          <w:rFonts w:hint="eastAsia"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附件8：商务部分（技术部分）正负偏离表</w:t>
      </w:r>
    </w:p>
    <w:p w14:paraId="76704814">
      <w:pPr>
        <w:keepNext w:val="0"/>
        <w:keepLines w:val="0"/>
        <w:pageBreakBefore w:val="0"/>
        <w:kinsoku/>
        <w:wordWrap/>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商务部分（技术部分）正负偏离表</w:t>
      </w:r>
    </w:p>
    <w:p w14:paraId="6A7DCD5C">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（由供应商据实提交，表格不够自行添加）</w:t>
      </w:r>
    </w:p>
    <w:tbl>
      <w:tblPr>
        <w:tblStyle w:val="8"/>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586"/>
        <w:gridCol w:w="2706"/>
        <w:gridCol w:w="2720"/>
        <w:gridCol w:w="1417"/>
      </w:tblGrid>
      <w:tr w14:paraId="5490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49" w:type="dxa"/>
            <w:noWrap w:val="0"/>
            <w:vAlign w:val="center"/>
          </w:tcPr>
          <w:p w14:paraId="40FCA03A">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86" w:type="dxa"/>
            <w:noWrap w:val="0"/>
            <w:vAlign w:val="center"/>
          </w:tcPr>
          <w:p w14:paraId="48255562">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货物或服务名称</w:t>
            </w:r>
          </w:p>
        </w:tc>
        <w:tc>
          <w:tcPr>
            <w:tcW w:w="2706" w:type="dxa"/>
            <w:noWrap w:val="0"/>
            <w:vAlign w:val="center"/>
          </w:tcPr>
          <w:p w14:paraId="49EB5E46">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采购</w:t>
            </w:r>
            <w:r>
              <w:rPr>
                <w:rFonts w:hint="eastAsia" w:ascii="宋体" w:hAnsi="宋体" w:eastAsia="宋体" w:cs="宋体"/>
                <w:sz w:val="24"/>
                <w:szCs w:val="24"/>
              </w:rPr>
              <w:t>文件要求</w:t>
            </w:r>
          </w:p>
        </w:tc>
        <w:tc>
          <w:tcPr>
            <w:tcW w:w="2720" w:type="dxa"/>
            <w:noWrap w:val="0"/>
            <w:vAlign w:val="center"/>
          </w:tcPr>
          <w:p w14:paraId="7188C971">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响应文件响应情况</w:t>
            </w:r>
          </w:p>
        </w:tc>
        <w:tc>
          <w:tcPr>
            <w:tcW w:w="1417" w:type="dxa"/>
            <w:noWrap w:val="0"/>
            <w:vAlign w:val="center"/>
          </w:tcPr>
          <w:p w14:paraId="3E800787">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31DE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49" w:type="dxa"/>
            <w:noWrap w:val="0"/>
            <w:vAlign w:val="top"/>
          </w:tcPr>
          <w:p w14:paraId="77D0A1EC">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86" w:type="dxa"/>
            <w:noWrap w:val="0"/>
            <w:vAlign w:val="center"/>
          </w:tcPr>
          <w:p w14:paraId="105DC895">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706" w:type="dxa"/>
            <w:noWrap w:val="0"/>
            <w:vAlign w:val="center"/>
          </w:tcPr>
          <w:p w14:paraId="1D7B6DD5">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720" w:type="dxa"/>
            <w:noWrap w:val="0"/>
            <w:vAlign w:val="center"/>
          </w:tcPr>
          <w:p w14:paraId="06AB513A">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417" w:type="dxa"/>
            <w:noWrap w:val="0"/>
            <w:vAlign w:val="top"/>
          </w:tcPr>
          <w:p w14:paraId="056BF53F">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r w14:paraId="002F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49" w:type="dxa"/>
            <w:noWrap w:val="0"/>
            <w:vAlign w:val="top"/>
          </w:tcPr>
          <w:p w14:paraId="08EC0D3A">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586" w:type="dxa"/>
            <w:noWrap w:val="0"/>
            <w:vAlign w:val="center"/>
          </w:tcPr>
          <w:p w14:paraId="29E88E97">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706" w:type="dxa"/>
            <w:noWrap w:val="0"/>
            <w:vAlign w:val="center"/>
          </w:tcPr>
          <w:p w14:paraId="3ADF0C03">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720" w:type="dxa"/>
            <w:noWrap w:val="0"/>
            <w:vAlign w:val="center"/>
          </w:tcPr>
          <w:p w14:paraId="4F0F643D">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417" w:type="dxa"/>
            <w:noWrap w:val="0"/>
            <w:vAlign w:val="top"/>
          </w:tcPr>
          <w:p w14:paraId="192B4442">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r w14:paraId="2E70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9" w:type="dxa"/>
            <w:noWrap w:val="0"/>
            <w:vAlign w:val="top"/>
          </w:tcPr>
          <w:p w14:paraId="75BF8FE1">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586" w:type="dxa"/>
            <w:noWrap w:val="0"/>
            <w:vAlign w:val="center"/>
          </w:tcPr>
          <w:p w14:paraId="3CBD95E0">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706" w:type="dxa"/>
            <w:noWrap w:val="0"/>
            <w:vAlign w:val="center"/>
          </w:tcPr>
          <w:p w14:paraId="32FE1AAB">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720" w:type="dxa"/>
            <w:noWrap w:val="0"/>
            <w:vAlign w:val="center"/>
          </w:tcPr>
          <w:p w14:paraId="4339FEBF">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417" w:type="dxa"/>
            <w:noWrap w:val="0"/>
            <w:vAlign w:val="top"/>
          </w:tcPr>
          <w:p w14:paraId="43E13E6A">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r w14:paraId="672B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49" w:type="dxa"/>
            <w:noWrap w:val="0"/>
            <w:vAlign w:val="top"/>
          </w:tcPr>
          <w:p w14:paraId="454657CF">
            <w:pPr>
              <w:keepNext w:val="0"/>
              <w:keepLines w:val="0"/>
              <w:pageBreakBefore w:val="0"/>
              <w:kinsoku/>
              <w:wordWrap/>
              <w:topLinePunct w:val="0"/>
              <w:autoSpaceDE/>
              <w:autoSpaceDN/>
              <w:bidi w:val="0"/>
              <w:spacing w:line="360" w:lineRule="auto"/>
              <w:jc w:val="center"/>
              <w:rPr>
                <w:rFonts w:hint="eastAsia" w:ascii="宋体" w:hAnsi="宋体" w:eastAsia="宋体" w:cs="宋体"/>
                <w:sz w:val="24"/>
                <w:szCs w:val="24"/>
              </w:rPr>
            </w:pPr>
          </w:p>
        </w:tc>
        <w:tc>
          <w:tcPr>
            <w:tcW w:w="1586" w:type="dxa"/>
            <w:noWrap w:val="0"/>
            <w:vAlign w:val="center"/>
          </w:tcPr>
          <w:p w14:paraId="0F9508BC">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706" w:type="dxa"/>
            <w:noWrap w:val="0"/>
            <w:vAlign w:val="center"/>
          </w:tcPr>
          <w:p w14:paraId="76C9DC4F">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2720" w:type="dxa"/>
            <w:noWrap w:val="0"/>
            <w:vAlign w:val="center"/>
          </w:tcPr>
          <w:p w14:paraId="41F3201F">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c>
          <w:tcPr>
            <w:tcW w:w="1417" w:type="dxa"/>
            <w:noWrap w:val="0"/>
            <w:vAlign w:val="top"/>
          </w:tcPr>
          <w:p w14:paraId="3DAFFF1A">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p>
        </w:tc>
      </w:tr>
    </w:tbl>
    <w:p w14:paraId="6729ABD6">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注：</w:t>
      </w:r>
    </w:p>
    <w:p w14:paraId="26CFD529">
      <w:pPr>
        <w:keepNext w:val="0"/>
        <w:keepLines w:val="0"/>
        <w:pageBreakBefore w:val="0"/>
        <w:kinsoku/>
        <w:wordWrap/>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1.供应商提交的响应文件中与</w:t>
      </w:r>
      <w:r>
        <w:rPr>
          <w:rFonts w:hint="eastAsia" w:ascii="宋体" w:hAnsi="宋体" w:eastAsia="宋体" w:cs="宋体"/>
          <w:sz w:val="24"/>
          <w:szCs w:val="24"/>
          <w:lang w:eastAsia="zh-CN"/>
        </w:rPr>
        <w:t>采购</w:t>
      </w:r>
      <w:r>
        <w:rPr>
          <w:rFonts w:hint="eastAsia" w:ascii="宋体" w:hAnsi="宋体" w:eastAsia="宋体" w:cs="宋体"/>
          <w:sz w:val="24"/>
          <w:szCs w:val="24"/>
        </w:rPr>
        <w:t>文件第三部分“项目需求说明”中的商务、技术部分的要求有不同时，应逐条填列在偏离表中，否则将认为供应商接受招标文件的所有要求。</w:t>
      </w:r>
    </w:p>
    <w:p w14:paraId="6C469520">
      <w:pPr>
        <w:keepNext w:val="0"/>
        <w:keepLines w:val="0"/>
        <w:pageBreakBefore w:val="0"/>
        <w:kinsoku/>
        <w:wordWrap/>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2.“偏离说明”一栏选择“正偏离”、“负偏离”、“无偏离”进行填写。正偏离的确认和负偏离的是否相应招标文件，经三分之二评委认定。</w:t>
      </w:r>
    </w:p>
    <w:p w14:paraId="437EC9DF">
      <w:pPr>
        <w:keepNext w:val="0"/>
        <w:keepLines w:val="0"/>
        <w:pageBreakBefore w:val="0"/>
        <w:kinsoku/>
        <w:wordWrap/>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3.供应商如果虚假响应，将承担被暂停参加采购人组织政府采购活动的风险。</w:t>
      </w:r>
    </w:p>
    <w:p w14:paraId="1E81F6A1">
      <w:pPr>
        <w:keepNext w:val="0"/>
        <w:keepLines w:val="0"/>
        <w:pageBreakBefore w:val="0"/>
        <w:tabs>
          <w:tab w:val="left" w:pos="3852"/>
        </w:tabs>
        <w:kinsoku/>
        <w:wordWrap/>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4.供应商若提供其他增值服务，可以在表中自行据实填写。</w:t>
      </w:r>
      <w:bookmarkStart w:id="23" w:name="_Toc105579206"/>
    </w:p>
    <w:bookmarkEnd w:id="23"/>
    <w:p w14:paraId="79EBDF77">
      <w:pPr>
        <w:keepNext w:val="0"/>
        <w:keepLines w:val="0"/>
        <w:pageBreakBefore w:val="0"/>
        <w:kinsoku/>
        <w:wordWrap/>
        <w:topLinePunct w:val="0"/>
        <w:autoSpaceDE/>
        <w:autoSpaceDN/>
        <w:bidi w:val="0"/>
        <w:spacing w:line="360" w:lineRule="auto"/>
        <w:rPr>
          <w:rFonts w:hint="eastAsia" w:ascii="宋体" w:hAnsi="宋体" w:eastAsia="宋体" w:cs="宋体"/>
          <w:sz w:val="24"/>
          <w:szCs w:val="24"/>
        </w:rPr>
      </w:pPr>
      <w:bookmarkStart w:id="24" w:name="_Toc11031"/>
      <w:bookmarkStart w:id="25" w:name="_Toc21360"/>
      <w:bookmarkStart w:id="26" w:name="_Toc29140"/>
      <w:bookmarkStart w:id="27" w:name="_Toc468781351"/>
    </w:p>
    <w:p w14:paraId="09AD6F55">
      <w:pPr>
        <w:autoSpaceDE w:val="0"/>
        <w:autoSpaceDN w:val="0"/>
        <w:snapToGrid w:val="0"/>
        <w:ind w:left="105" w:leftChars="50" w:firstLine="420" w:firstLineChars="200"/>
        <w:rPr>
          <w:rFonts w:hint="eastAsia" w:ascii="宋体" w:hAnsi="宋体" w:cs="宋体"/>
          <w:szCs w:val="24"/>
        </w:rPr>
      </w:pPr>
    </w:p>
    <w:bookmarkEnd w:id="24"/>
    <w:bookmarkEnd w:id="25"/>
    <w:bookmarkEnd w:id="26"/>
    <w:p w14:paraId="6F987E68">
      <w:pPr>
        <w:spacing w:line="420" w:lineRule="exact"/>
        <w:jc w:val="center"/>
        <w:rPr>
          <w:b/>
          <w:bCs/>
          <w:sz w:val="24"/>
          <w:highlight w:val="yellow"/>
        </w:rPr>
      </w:pPr>
      <w:r>
        <w:rPr>
          <w:rFonts w:hint="eastAsia" w:ascii="宋体" w:hAnsi="宋体" w:cs="宋体"/>
          <w:b/>
          <w:spacing w:val="20"/>
          <w:szCs w:val="24"/>
        </w:rPr>
        <w:br w:type="page"/>
      </w:r>
      <w:bookmarkStart w:id="28" w:name="_Toc9094"/>
      <w:bookmarkStart w:id="29" w:name="_Toc15854"/>
      <w:r>
        <w:rPr>
          <w:rFonts w:hint="eastAsia" w:ascii="宋体" w:hAnsi="宋体" w:cs="宋体"/>
          <w:b/>
          <w:szCs w:val="24"/>
        </w:rPr>
        <w:t>附件9：</w:t>
      </w:r>
      <w:r>
        <w:rPr>
          <w:b/>
          <w:sz w:val="24"/>
          <w:highlight w:val="none"/>
        </w:rPr>
        <w:t>磋商响应报价表</w:t>
      </w:r>
    </w:p>
    <w:p w14:paraId="2011A858">
      <w:pPr>
        <w:spacing w:line="420" w:lineRule="exact"/>
        <w:jc w:val="center"/>
        <w:rPr>
          <w:b/>
          <w:bCs/>
          <w:sz w:val="24"/>
        </w:rPr>
      </w:pP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7352"/>
      </w:tblGrid>
      <w:tr w14:paraId="05F6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14:paraId="557BA41A">
            <w:pPr>
              <w:spacing w:line="480" w:lineRule="exact"/>
              <w:jc w:val="center"/>
              <w:rPr>
                <w:sz w:val="24"/>
                <w:szCs w:val="20"/>
              </w:rPr>
            </w:pPr>
            <w:r>
              <w:rPr>
                <w:sz w:val="24"/>
                <w:szCs w:val="20"/>
              </w:rPr>
              <w:t>项目编号</w:t>
            </w:r>
          </w:p>
        </w:tc>
        <w:tc>
          <w:tcPr>
            <w:tcW w:w="7352" w:type="dxa"/>
            <w:tcBorders>
              <w:top w:val="single" w:color="auto" w:sz="4" w:space="0"/>
              <w:left w:val="single" w:color="auto" w:sz="4" w:space="0"/>
              <w:bottom w:val="single" w:color="auto" w:sz="4" w:space="0"/>
              <w:right w:val="single" w:color="auto" w:sz="4" w:space="0"/>
            </w:tcBorders>
            <w:noWrap w:val="0"/>
            <w:vAlign w:val="center"/>
          </w:tcPr>
          <w:p w14:paraId="60A03A1A">
            <w:pPr>
              <w:spacing w:line="360" w:lineRule="auto"/>
              <w:jc w:val="center"/>
              <w:rPr>
                <w:sz w:val="24"/>
                <w:szCs w:val="20"/>
              </w:rPr>
            </w:pPr>
          </w:p>
        </w:tc>
      </w:tr>
      <w:tr w14:paraId="06EC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14:paraId="5049AFEB">
            <w:pPr>
              <w:spacing w:line="480" w:lineRule="exact"/>
              <w:jc w:val="center"/>
              <w:rPr>
                <w:sz w:val="24"/>
                <w:szCs w:val="20"/>
                <w:lang w:bidi="ar"/>
              </w:rPr>
            </w:pPr>
            <w:r>
              <w:rPr>
                <w:sz w:val="24"/>
                <w:szCs w:val="20"/>
                <w:lang w:bidi="ar"/>
              </w:rPr>
              <w:t>项目名称</w:t>
            </w:r>
          </w:p>
        </w:tc>
        <w:tc>
          <w:tcPr>
            <w:tcW w:w="7352" w:type="dxa"/>
            <w:tcBorders>
              <w:top w:val="single" w:color="auto" w:sz="4" w:space="0"/>
              <w:left w:val="single" w:color="auto" w:sz="4" w:space="0"/>
              <w:bottom w:val="single" w:color="auto" w:sz="4" w:space="0"/>
              <w:right w:val="single" w:color="auto" w:sz="4" w:space="0"/>
            </w:tcBorders>
            <w:noWrap w:val="0"/>
            <w:vAlign w:val="center"/>
          </w:tcPr>
          <w:p w14:paraId="7152B11C">
            <w:pPr>
              <w:spacing w:line="480" w:lineRule="exact"/>
              <w:jc w:val="center"/>
              <w:rPr>
                <w:rFonts w:hint="eastAsia" w:eastAsia="宋体"/>
                <w:sz w:val="24"/>
                <w:szCs w:val="20"/>
                <w:lang w:eastAsia="zh-CN"/>
              </w:rPr>
            </w:pPr>
            <w:r>
              <w:rPr>
                <w:color w:val="000000"/>
                <w:sz w:val="24"/>
              </w:rPr>
              <w:t>南通市生态环境局2023年度生态环境损害赔偿工作第三方技术服务项目</w:t>
            </w:r>
            <w:r>
              <w:rPr>
                <w:rFonts w:hint="eastAsia"/>
                <w:color w:val="000000"/>
                <w:sz w:val="24"/>
                <w:lang w:eastAsia="zh-CN"/>
              </w:rPr>
              <w:t>（</w:t>
            </w:r>
            <w:r>
              <w:rPr>
                <w:rFonts w:hint="eastAsia"/>
                <w:color w:val="000000"/>
                <w:sz w:val="24"/>
                <w:lang w:val="en-US" w:eastAsia="zh-CN"/>
              </w:rPr>
              <w:t>二次</w:t>
            </w:r>
            <w:r>
              <w:rPr>
                <w:rFonts w:hint="eastAsia"/>
                <w:color w:val="000000"/>
                <w:sz w:val="24"/>
                <w:lang w:eastAsia="zh-CN"/>
              </w:rPr>
              <w:t>）</w:t>
            </w:r>
          </w:p>
        </w:tc>
      </w:tr>
      <w:tr w14:paraId="10AE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14:paraId="4912AEB5">
            <w:pPr>
              <w:spacing w:line="480" w:lineRule="exact"/>
              <w:jc w:val="center"/>
              <w:rPr>
                <w:sz w:val="24"/>
                <w:szCs w:val="20"/>
                <w:lang w:bidi="ar"/>
              </w:rPr>
            </w:pPr>
            <w:r>
              <w:rPr>
                <w:sz w:val="24"/>
                <w:szCs w:val="20"/>
                <w:lang w:bidi="ar"/>
              </w:rPr>
              <w:t>磋商报价总计（首次）</w:t>
            </w:r>
          </w:p>
        </w:tc>
        <w:tc>
          <w:tcPr>
            <w:tcW w:w="7352" w:type="dxa"/>
            <w:tcBorders>
              <w:top w:val="single" w:color="auto" w:sz="4" w:space="0"/>
              <w:left w:val="single" w:color="auto" w:sz="4" w:space="0"/>
              <w:bottom w:val="single" w:color="auto" w:sz="4" w:space="0"/>
              <w:right w:val="single" w:color="auto" w:sz="4" w:space="0"/>
            </w:tcBorders>
            <w:noWrap w:val="0"/>
            <w:vAlign w:val="center"/>
          </w:tcPr>
          <w:p w14:paraId="1FE20451">
            <w:pPr>
              <w:spacing w:line="480" w:lineRule="exact"/>
              <w:rPr>
                <w:sz w:val="24"/>
                <w:szCs w:val="20"/>
              </w:rPr>
            </w:pPr>
            <w:r>
              <w:rPr>
                <w:sz w:val="24"/>
                <w:szCs w:val="20"/>
                <w:lang w:bidi="ar"/>
              </w:rPr>
              <w:t>人民币大写：</w:t>
            </w:r>
            <w:r>
              <w:rPr>
                <w:sz w:val="24"/>
                <w:szCs w:val="20"/>
                <w:u w:val="single"/>
                <w:lang w:bidi="ar"/>
              </w:rPr>
              <w:t xml:space="preserve">                      </w:t>
            </w:r>
            <w:r>
              <w:rPr>
                <w:sz w:val="24"/>
                <w:szCs w:val="20"/>
                <w:lang w:bidi="ar"/>
              </w:rPr>
              <w:t>，¥</w:t>
            </w:r>
            <w:r>
              <w:rPr>
                <w:sz w:val="24"/>
                <w:szCs w:val="20"/>
                <w:u w:val="single"/>
                <w:lang w:bidi="ar"/>
              </w:rPr>
              <w:t xml:space="preserve">            </w:t>
            </w:r>
            <w:r>
              <w:rPr>
                <w:sz w:val="24"/>
                <w:szCs w:val="20"/>
                <w:lang w:bidi="ar"/>
              </w:rPr>
              <w:t xml:space="preserve"> 元。</w:t>
            </w:r>
          </w:p>
        </w:tc>
      </w:tr>
      <w:tr w14:paraId="76B2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14:paraId="26D412E8">
            <w:pPr>
              <w:spacing w:line="480" w:lineRule="exact"/>
              <w:jc w:val="center"/>
              <w:rPr>
                <w:sz w:val="24"/>
                <w:szCs w:val="20"/>
              </w:rPr>
            </w:pPr>
            <w:r>
              <w:rPr>
                <w:sz w:val="24"/>
                <w:szCs w:val="20"/>
                <w:lang w:bidi="ar"/>
              </w:rPr>
              <w:t>磋商报价总计（二次）</w:t>
            </w:r>
          </w:p>
        </w:tc>
        <w:tc>
          <w:tcPr>
            <w:tcW w:w="7352" w:type="dxa"/>
            <w:tcBorders>
              <w:top w:val="single" w:color="auto" w:sz="4" w:space="0"/>
              <w:left w:val="single" w:color="auto" w:sz="4" w:space="0"/>
              <w:bottom w:val="single" w:color="auto" w:sz="4" w:space="0"/>
              <w:right w:val="single" w:color="auto" w:sz="4" w:space="0"/>
            </w:tcBorders>
            <w:noWrap w:val="0"/>
            <w:vAlign w:val="center"/>
          </w:tcPr>
          <w:p w14:paraId="15B4982D">
            <w:pPr>
              <w:spacing w:line="480" w:lineRule="exact"/>
              <w:rPr>
                <w:sz w:val="24"/>
                <w:szCs w:val="20"/>
                <w:u w:val="single"/>
              </w:rPr>
            </w:pPr>
            <w:r>
              <w:rPr>
                <w:sz w:val="24"/>
                <w:szCs w:val="20"/>
                <w:lang w:bidi="ar"/>
              </w:rPr>
              <w:t>人民币大写：</w:t>
            </w:r>
            <w:r>
              <w:rPr>
                <w:sz w:val="24"/>
                <w:szCs w:val="20"/>
                <w:u w:val="single"/>
                <w:lang w:bidi="ar"/>
              </w:rPr>
              <w:t xml:space="preserve">                      </w:t>
            </w:r>
            <w:r>
              <w:rPr>
                <w:sz w:val="24"/>
                <w:szCs w:val="20"/>
                <w:lang w:bidi="ar"/>
              </w:rPr>
              <w:t>，¥</w:t>
            </w:r>
            <w:r>
              <w:rPr>
                <w:sz w:val="24"/>
                <w:szCs w:val="20"/>
                <w:u w:val="single"/>
                <w:lang w:bidi="ar"/>
              </w:rPr>
              <w:t xml:space="preserve">            </w:t>
            </w:r>
            <w:r>
              <w:rPr>
                <w:sz w:val="24"/>
                <w:szCs w:val="20"/>
                <w:lang w:bidi="ar"/>
              </w:rPr>
              <w:t xml:space="preserve"> 元。</w:t>
            </w:r>
          </w:p>
        </w:tc>
      </w:tr>
      <w:tr w14:paraId="4ABC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14:paraId="41E95CEB">
            <w:pPr>
              <w:spacing w:line="440" w:lineRule="exact"/>
              <w:jc w:val="center"/>
              <w:rPr>
                <w:sz w:val="24"/>
                <w:szCs w:val="20"/>
                <w:lang w:bidi="ar"/>
              </w:rPr>
            </w:pPr>
            <w:r>
              <w:rPr>
                <w:sz w:val="24"/>
              </w:rPr>
              <w:t>供应商规模</w:t>
            </w:r>
          </w:p>
        </w:tc>
        <w:tc>
          <w:tcPr>
            <w:tcW w:w="7352" w:type="dxa"/>
            <w:tcBorders>
              <w:top w:val="single" w:color="auto" w:sz="4" w:space="0"/>
              <w:left w:val="single" w:color="auto" w:sz="4" w:space="0"/>
              <w:bottom w:val="single" w:color="auto" w:sz="4" w:space="0"/>
              <w:right w:val="single" w:color="auto" w:sz="4" w:space="0"/>
            </w:tcBorders>
            <w:noWrap w:val="0"/>
            <w:vAlign w:val="center"/>
          </w:tcPr>
          <w:p w14:paraId="01386C9F">
            <w:pPr>
              <w:spacing w:line="440" w:lineRule="exact"/>
              <w:ind w:left="2880" w:hanging="2880" w:hangingChars="1200"/>
              <w:jc w:val="center"/>
              <w:rPr>
                <w:sz w:val="24"/>
                <w:szCs w:val="20"/>
                <w:lang w:bidi="ar"/>
              </w:rPr>
            </w:pPr>
            <w:r>
              <w:rPr>
                <w:sz w:val="24"/>
                <w:u w:val="thick" w:color="FF0000"/>
              </w:rPr>
              <w:t>如为小微企业，请填写“小型或微型”</w:t>
            </w:r>
          </w:p>
        </w:tc>
      </w:tr>
    </w:tbl>
    <w:p w14:paraId="1CDB6500">
      <w:pPr>
        <w:kinsoku w:val="0"/>
        <w:topLinePunct/>
        <w:snapToGrid w:val="0"/>
        <w:spacing w:line="520" w:lineRule="exact"/>
        <w:rPr>
          <w:b/>
          <w:sz w:val="24"/>
        </w:rPr>
      </w:pPr>
    </w:p>
    <w:p w14:paraId="67BE8F0E">
      <w:pPr>
        <w:snapToGrid w:val="0"/>
        <w:spacing w:line="520" w:lineRule="exact"/>
        <w:jc w:val="right"/>
        <w:outlineLvl w:val="3"/>
        <w:rPr>
          <w:sz w:val="24"/>
        </w:rPr>
      </w:pPr>
    </w:p>
    <w:p w14:paraId="53529BF4">
      <w:pPr>
        <w:snapToGrid w:val="0"/>
        <w:spacing w:line="520" w:lineRule="exact"/>
        <w:jc w:val="right"/>
        <w:outlineLvl w:val="3"/>
        <w:rPr>
          <w:sz w:val="24"/>
        </w:rPr>
      </w:pPr>
      <w:r>
        <w:rPr>
          <w:sz w:val="24"/>
        </w:rPr>
        <w:t>供应商名称：</w:t>
      </w:r>
      <w:r>
        <w:rPr>
          <w:sz w:val="24"/>
          <w:u w:val="single"/>
        </w:rPr>
        <w:t xml:space="preserve">                    </w:t>
      </w:r>
      <w:r>
        <w:rPr>
          <w:sz w:val="24"/>
        </w:rPr>
        <w:t>（加盖公章）</w:t>
      </w:r>
    </w:p>
    <w:p w14:paraId="37BCD920">
      <w:pPr>
        <w:snapToGrid w:val="0"/>
        <w:spacing w:line="520" w:lineRule="exact"/>
        <w:jc w:val="right"/>
        <w:outlineLvl w:val="3"/>
        <w:rPr>
          <w:sz w:val="24"/>
        </w:rPr>
      </w:pPr>
      <w:r>
        <w:rPr>
          <w:sz w:val="24"/>
        </w:rPr>
        <w:t>法定代表人或被授权人：</w:t>
      </w:r>
      <w:r>
        <w:rPr>
          <w:sz w:val="24"/>
          <w:u w:val="single"/>
        </w:rPr>
        <w:t xml:space="preserve">        </w:t>
      </w:r>
      <w:r>
        <w:rPr>
          <w:sz w:val="24"/>
        </w:rPr>
        <w:t>（签字或盖章）</w:t>
      </w:r>
    </w:p>
    <w:p w14:paraId="68ADB5CD">
      <w:pPr>
        <w:kinsoku w:val="0"/>
        <w:topLinePunct/>
        <w:snapToGrid w:val="0"/>
        <w:spacing w:line="520" w:lineRule="exact"/>
        <w:ind w:firstLine="4080" w:firstLineChars="1700"/>
        <w:rPr>
          <w:sz w:val="24"/>
        </w:rPr>
      </w:pPr>
      <w:r>
        <w:rPr>
          <w:sz w:val="24"/>
        </w:rPr>
        <w:t>日期：</w:t>
      </w:r>
    </w:p>
    <w:p w14:paraId="796C50EA">
      <w:pPr>
        <w:kinsoku w:val="0"/>
        <w:topLinePunct/>
        <w:snapToGrid w:val="0"/>
        <w:spacing w:line="520" w:lineRule="exact"/>
        <w:rPr>
          <w:b/>
          <w:sz w:val="24"/>
        </w:rPr>
      </w:pPr>
      <w:r>
        <w:rPr>
          <w:b/>
          <w:sz w:val="24"/>
        </w:rPr>
        <w:t>注：</w:t>
      </w:r>
    </w:p>
    <w:p w14:paraId="599B326A">
      <w:pPr>
        <w:numPr>
          <w:ilvl w:val="0"/>
          <w:numId w:val="3"/>
        </w:numPr>
        <w:kinsoku w:val="0"/>
        <w:topLinePunct/>
        <w:snapToGrid w:val="0"/>
        <w:spacing w:line="520" w:lineRule="exact"/>
        <w:rPr>
          <w:sz w:val="24"/>
        </w:rPr>
      </w:pPr>
      <w:r>
        <w:rPr>
          <w:sz w:val="24"/>
        </w:rPr>
        <w:t xml:space="preserve"> 本表为格式表，不得自行改动，必须提供。</w:t>
      </w:r>
    </w:p>
    <w:p w14:paraId="6C0E25E9">
      <w:pPr>
        <w:numPr>
          <w:ilvl w:val="0"/>
          <w:numId w:val="3"/>
        </w:numPr>
        <w:kinsoku w:val="0"/>
        <w:topLinePunct/>
        <w:snapToGrid w:val="0"/>
        <w:spacing w:line="520" w:lineRule="exact"/>
        <w:rPr>
          <w:sz w:val="24"/>
        </w:rPr>
      </w:pPr>
      <w:r>
        <w:rPr>
          <w:sz w:val="24"/>
        </w:rPr>
        <w:t>投标总报价（以人民币计价）应</w:t>
      </w:r>
      <w:r>
        <w:rPr>
          <w:color w:val="000000"/>
          <w:sz w:val="24"/>
        </w:rPr>
        <w:t>包括但不限于</w:t>
      </w:r>
      <w:r>
        <w:rPr>
          <w:sz w:val="24"/>
        </w:rPr>
        <w:t>法律顾问咨询和服务的劳务、交通、食宿、通信、政策</w:t>
      </w:r>
      <w:r>
        <w:rPr>
          <w:bCs/>
          <w:sz w:val="24"/>
        </w:rPr>
        <w:t>性调整风险费、代理服务费</w:t>
      </w:r>
      <w:r>
        <w:rPr>
          <w:color w:val="000000"/>
          <w:sz w:val="24"/>
        </w:rPr>
        <w:t>、</w:t>
      </w:r>
      <w:r>
        <w:rPr>
          <w:bCs/>
          <w:sz w:val="24"/>
        </w:rPr>
        <w:t>相关伴随服务、管理费、利润、税金</w:t>
      </w:r>
      <w:r>
        <w:rPr>
          <w:color w:val="000000"/>
          <w:sz w:val="24"/>
        </w:rPr>
        <w:t>等费用。</w:t>
      </w:r>
      <w:r>
        <w:rPr>
          <w:bCs/>
          <w:sz w:val="24"/>
        </w:rPr>
        <w:t>即为完成本项目服务及响应磋商文件采购要求所发生的全部有费用。</w:t>
      </w:r>
    </w:p>
    <w:p w14:paraId="79372ED4">
      <w:pPr>
        <w:numPr>
          <w:ilvl w:val="0"/>
          <w:numId w:val="3"/>
        </w:numPr>
        <w:kinsoku w:val="0"/>
        <w:topLinePunct/>
        <w:snapToGrid w:val="0"/>
        <w:spacing w:line="520" w:lineRule="exact"/>
        <w:rPr>
          <w:b/>
          <w:color w:val="FF0000"/>
          <w:sz w:val="24"/>
        </w:rPr>
      </w:pPr>
      <w:r>
        <w:rPr>
          <w:b/>
          <w:color w:val="FF0000"/>
          <w:sz w:val="24"/>
        </w:rPr>
        <w:t>第二次报价将在开标现场填写，磋商响应文件密封提交时只需填写首次磋商报价。</w:t>
      </w:r>
    </w:p>
    <w:p w14:paraId="417DCAFC">
      <w:pPr>
        <w:kinsoku w:val="0"/>
        <w:topLinePunct/>
        <w:snapToGrid w:val="0"/>
        <w:spacing w:line="520" w:lineRule="exact"/>
        <w:rPr>
          <w:sz w:val="24"/>
        </w:rPr>
      </w:pPr>
    </w:p>
    <w:p w14:paraId="2E59F0B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b/>
          <w:sz w:val="24"/>
          <w:szCs w:val="24"/>
        </w:rPr>
      </w:pPr>
      <w:r>
        <w:rPr>
          <w:b/>
          <w:bCs/>
          <w:sz w:val="24"/>
        </w:rPr>
        <w:br w:type="page"/>
      </w:r>
      <w:r>
        <w:rPr>
          <w:rFonts w:hint="eastAsia" w:ascii="宋体" w:hAnsi="宋体" w:cs="宋体"/>
          <w:b/>
          <w:sz w:val="24"/>
          <w:szCs w:val="24"/>
        </w:rPr>
        <w:t>附件10:  小微企业、监狱企业、残疾人福利单位的声明函或证明材料</w:t>
      </w:r>
      <w:bookmarkEnd w:id="28"/>
      <w:bookmarkEnd w:id="29"/>
      <w:r>
        <w:rPr>
          <w:rFonts w:hint="eastAsia" w:ascii="宋体" w:hAnsi="宋体" w:cs="宋体"/>
          <w:b/>
          <w:sz w:val="24"/>
          <w:szCs w:val="24"/>
        </w:rPr>
        <w:t>（如符合）</w:t>
      </w:r>
    </w:p>
    <w:p w14:paraId="11B87EAC">
      <w:pPr>
        <w:pStyle w:val="12"/>
        <w:keepNext w:val="0"/>
        <w:keepLines w:val="0"/>
        <w:pageBreakBefore w:val="0"/>
        <w:widowControl w:val="0"/>
        <w:kinsoku/>
        <w:wordWrap/>
        <w:overflowPunct/>
        <w:topLinePunct w:val="0"/>
        <w:autoSpaceDE/>
        <w:autoSpaceDN/>
        <w:bidi w:val="0"/>
        <w:adjustRightInd/>
        <w:snapToGrid w:val="0"/>
        <w:spacing w:before="159" w:beforeLines="50" w:line="360" w:lineRule="auto"/>
        <w:textAlignment w:val="auto"/>
        <w:rPr>
          <w:rFonts w:hint="eastAsia" w:hAnsi="宋体" w:cs="宋体"/>
          <w:sz w:val="24"/>
          <w:szCs w:val="24"/>
        </w:rPr>
      </w:pPr>
    </w:p>
    <w:p w14:paraId="67BAFC07">
      <w:pPr>
        <w:keepNext w:val="0"/>
        <w:keepLines w:val="0"/>
        <w:pageBreakBefore w:val="0"/>
        <w:widowControl w:val="0"/>
        <w:kinsoku/>
        <w:wordWrap/>
        <w:overflowPunct/>
        <w:topLinePunct w:val="0"/>
        <w:autoSpaceDE/>
        <w:autoSpaceDN/>
        <w:bidi w:val="0"/>
        <w:adjustRightInd/>
        <w:spacing w:line="360" w:lineRule="auto"/>
        <w:jc w:val="center"/>
        <w:textAlignment w:val="auto"/>
        <w:outlineLvl w:val="3"/>
        <w:rPr>
          <w:rFonts w:hint="eastAsia" w:ascii="宋体" w:hAnsi="宋体" w:cs="宋体"/>
          <w:sz w:val="24"/>
          <w:szCs w:val="24"/>
        </w:rPr>
      </w:pPr>
      <w:bookmarkStart w:id="30" w:name="_Toc13843"/>
      <w:bookmarkStart w:id="31" w:name="_Toc24338"/>
      <w:bookmarkStart w:id="32" w:name="_Toc21598"/>
      <w:r>
        <w:rPr>
          <w:rFonts w:hint="eastAsia" w:ascii="宋体" w:hAnsi="宋体" w:cs="宋体"/>
          <w:sz w:val="24"/>
          <w:szCs w:val="24"/>
        </w:rPr>
        <w:t>（一）中小企业声明函（工程、服务）</w:t>
      </w:r>
      <w:bookmarkEnd w:id="30"/>
      <w:bookmarkEnd w:id="31"/>
      <w:bookmarkEnd w:id="32"/>
    </w:p>
    <w:p w14:paraId="59BD613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sz w:val="24"/>
          <w:szCs w:val="24"/>
        </w:rPr>
      </w:pPr>
      <w:r>
        <w:rPr>
          <w:rFonts w:hint="eastAsia" w:ascii="宋体" w:hAnsi="宋体" w:cs="宋体"/>
          <w:sz w:val="24"/>
          <w:szCs w:val="24"/>
        </w:rPr>
        <w:t>（注：符合中小企业划型标准的企业请提供本函，不符合的不提供本函）</w:t>
      </w:r>
    </w:p>
    <w:p w14:paraId="19545AE6">
      <w:pPr>
        <w:pStyle w:val="12"/>
        <w:keepNext w:val="0"/>
        <w:keepLines w:val="0"/>
        <w:pageBreakBefore w:val="0"/>
        <w:widowControl w:val="0"/>
        <w:kinsoku/>
        <w:wordWrap/>
        <w:overflowPunct/>
        <w:topLinePunct w:val="0"/>
        <w:autoSpaceDE/>
        <w:autoSpaceDN/>
        <w:bidi w:val="0"/>
        <w:adjustRightInd/>
        <w:snapToGrid w:val="0"/>
        <w:spacing w:before="159" w:beforeLines="50" w:line="360" w:lineRule="auto"/>
        <w:textAlignment w:val="auto"/>
        <w:rPr>
          <w:rFonts w:hint="eastAsia" w:hAnsi="宋体" w:cs="宋体"/>
          <w:sz w:val="24"/>
          <w:szCs w:val="24"/>
        </w:rPr>
      </w:pPr>
    </w:p>
    <w:p w14:paraId="08A3F02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本公司（ 联合体 ）郑重声明，根据《政府采购促进中小企业发展管理办法》（财库﹝2020﹞46 号）的规定，本公司（ 联合体 ）参加 </w:t>
      </w:r>
      <w:r>
        <w:rPr>
          <w:rFonts w:hint="eastAsia" w:ascii="宋体" w:hAnsi="宋体" w:cs="宋体"/>
          <w:i/>
          <w:iCs/>
          <w:sz w:val="24"/>
          <w:szCs w:val="24"/>
          <w:u w:val="single"/>
        </w:rPr>
        <w:t xml:space="preserve"> （ 单位名称 ） </w:t>
      </w:r>
      <w:r>
        <w:rPr>
          <w:rFonts w:hint="eastAsia" w:ascii="宋体" w:hAnsi="宋体" w:cs="宋体"/>
          <w:sz w:val="24"/>
          <w:szCs w:val="24"/>
        </w:rPr>
        <w:t>的</w:t>
      </w:r>
      <w:r>
        <w:rPr>
          <w:rFonts w:hint="eastAsia" w:ascii="宋体" w:hAnsi="宋体" w:cs="宋体"/>
          <w:sz w:val="24"/>
          <w:szCs w:val="24"/>
          <w:u w:val="single"/>
        </w:rPr>
        <w:t xml:space="preserve"> </w:t>
      </w:r>
      <w:r>
        <w:rPr>
          <w:rFonts w:hint="eastAsia" w:ascii="宋体" w:hAnsi="宋体" w:cs="宋体"/>
          <w:i/>
          <w:iCs/>
          <w:sz w:val="24"/>
          <w:szCs w:val="24"/>
          <w:u w:val="single"/>
        </w:rPr>
        <w:t>（ 项目名称 ）</w:t>
      </w:r>
      <w:r>
        <w:rPr>
          <w:rFonts w:hint="eastAsia" w:ascii="宋体" w:hAnsi="宋体" w:cs="宋体"/>
          <w:sz w:val="24"/>
          <w:szCs w:val="24"/>
          <w:u w:val="single"/>
        </w:rPr>
        <w:t xml:space="preserve"> </w:t>
      </w:r>
      <w:r>
        <w:rPr>
          <w:rFonts w:hint="eastAsia" w:ascii="宋体" w:hAnsi="宋体" w:cs="宋体"/>
          <w:sz w:val="24"/>
          <w:szCs w:val="24"/>
        </w:rPr>
        <w:t>采购活动，工程的施工单位全部为符合政策要求的中小企业（或者：服务全部由符合政策要求的中小企业承接）。相关企业 （含联合体中的中小企业、签订分包意向协议的中小企业 ）的具体情况如下：</w:t>
      </w:r>
    </w:p>
    <w:p w14:paraId="4F54F2A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w:t>
      </w:r>
      <w:r>
        <w:rPr>
          <w:rFonts w:hint="eastAsia" w:ascii="宋体" w:hAnsi="宋体" w:cs="宋体"/>
          <w:i/>
          <w:iCs/>
          <w:sz w:val="24"/>
          <w:szCs w:val="24"/>
          <w:u w:val="single"/>
        </w:rPr>
        <w:t>（ 标的名称 ）</w:t>
      </w:r>
      <w:r>
        <w:rPr>
          <w:rFonts w:hint="eastAsia" w:ascii="宋体" w:hAnsi="宋体" w:cs="宋体"/>
          <w:sz w:val="24"/>
          <w:szCs w:val="24"/>
        </w:rPr>
        <w:t xml:space="preserve"> ，属于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其他为列明行业</w:t>
      </w:r>
      <w:r>
        <w:rPr>
          <w:rFonts w:hint="eastAsia" w:ascii="宋体" w:hAnsi="宋体" w:cs="宋体"/>
          <w:sz w:val="24"/>
          <w:szCs w:val="24"/>
          <w:u w:val="single"/>
        </w:rPr>
        <w:t xml:space="preserve">  </w:t>
      </w:r>
      <w:r>
        <w:rPr>
          <w:rFonts w:hint="eastAsia" w:ascii="宋体" w:hAnsi="宋体" w:cs="宋体"/>
          <w:sz w:val="24"/>
          <w:szCs w:val="24"/>
        </w:rPr>
        <w:t>；承建（承接）企业为</w:t>
      </w:r>
      <w:r>
        <w:rPr>
          <w:rFonts w:hint="eastAsia" w:ascii="宋体" w:hAnsi="宋体" w:cs="宋体"/>
          <w:sz w:val="24"/>
          <w:szCs w:val="24"/>
          <w:u w:val="single"/>
        </w:rPr>
        <w:t xml:space="preserve"> </w:t>
      </w:r>
      <w:r>
        <w:rPr>
          <w:rFonts w:hint="eastAsia" w:ascii="宋体" w:hAnsi="宋体" w:cs="宋体"/>
          <w:i/>
          <w:iCs/>
          <w:sz w:val="24"/>
          <w:szCs w:val="24"/>
          <w:u w:val="single"/>
        </w:rPr>
        <w:t>（ 企业名称 ）</w:t>
      </w:r>
      <w:r>
        <w:rPr>
          <w:rFonts w:hint="eastAsia" w:ascii="宋体" w:hAnsi="宋体" w:cs="宋体"/>
          <w:sz w:val="24"/>
          <w:szCs w:val="24"/>
          <w:u w:val="single"/>
        </w:rPr>
        <w:t xml:space="preserve"> </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万元¹，属于</w:t>
      </w:r>
      <w:r>
        <w:rPr>
          <w:rFonts w:hint="eastAsia" w:ascii="宋体" w:hAnsi="宋体" w:cs="宋体"/>
          <w:sz w:val="24"/>
          <w:szCs w:val="24"/>
          <w:u w:val="single"/>
        </w:rPr>
        <w:t xml:space="preserve"> </w:t>
      </w:r>
      <w:r>
        <w:rPr>
          <w:rFonts w:hint="eastAsia" w:ascii="宋体" w:hAnsi="宋体" w:cs="宋体"/>
          <w:i/>
          <w:iCs/>
          <w:sz w:val="24"/>
          <w:szCs w:val="24"/>
          <w:u w:val="single"/>
        </w:rPr>
        <w:t>（ 中型企业、小型企业、微型企业 ）</w:t>
      </w:r>
      <w:r>
        <w:rPr>
          <w:rFonts w:hint="eastAsia" w:ascii="宋体" w:hAnsi="宋体" w:cs="宋体"/>
          <w:sz w:val="24"/>
          <w:szCs w:val="24"/>
          <w:u w:val="single"/>
        </w:rPr>
        <w:t xml:space="preserve"> </w:t>
      </w:r>
      <w:r>
        <w:rPr>
          <w:rFonts w:hint="eastAsia" w:ascii="宋体" w:hAnsi="宋体" w:cs="宋体"/>
          <w:sz w:val="24"/>
          <w:szCs w:val="24"/>
        </w:rPr>
        <w:t>；</w:t>
      </w:r>
    </w:p>
    <w:p w14:paraId="07F92EB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w:t>
      </w:r>
      <w:r>
        <w:rPr>
          <w:rFonts w:hint="eastAsia" w:ascii="宋体" w:hAnsi="宋体" w:cs="宋体"/>
          <w:i/>
          <w:iCs/>
          <w:sz w:val="24"/>
          <w:szCs w:val="24"/>
          <w:u w:val="single"/>
        </w:rPr>
        <w:t>（ 标的名称 ）</w:t>
      </w:r>
      <w:r>
        <w:rPr>
          <w:rFonts w:hint="eastAsia" w:ascii="宋体" w:hAnsi="宋体" w:cs="宋体"/>
          <w:sz w:val="24"/>
          <w:szCs w:val="24"/>
          <w:u w:val="single"/>
        </w:rPr>
        <w:t xml:space="preserve"> </w:t>
      </w:r>
      <w:r>
        <w:rPr>
          <w:rFonts w:hint="eastAsia" w:ascii="宋体" w:hAnsi="宋体" w:cs="宋体"/>
          <w:sz w:val="24"/>
          <w:szCs w:val="24"/>
        </w:rPr>
        <w:t>，属于</w:t>
      </w:r>
      <w:r>
        <w:rPr>
          <w:rFonts w:hint="eastAsia" w:ascii="宋体" w:hAnsi="宋体" w:cs="宋体"/>
          <w:sz w:val="24"/>
          <w:szCs w:val="24"/>
          <w:u w:val="single"/>
        </w:rPr>
        <w:t xml:space="preserve"> 租赁和商务服务业  </w:t>
      </w:r>
      <w:r>
        <w:rPr>
          <w:rFonts w:hint="eastAsia" w:ascii="宋体" w:hAnsi="宋体" w:cs="宋体"/>
          <w:sz w:val="24"/>
          <w:szCs w:val="24"/>
        </w:rPr>
        <w:t>；承建（承接）企业为</w:t>
      </w:r>
      <w:r>
        <w:rPr>
          <w:rFonts w:hint="eastAsia" w:ascii="宋体" w:hAnsi="宋体" w:cs="宋体"/>
          <w:sz w:val="24"/>
          <w:szCs w:val="24"/>
          <w:u w:val="single"/>
        </w:rPr>
        <w:t xml:space="preserve"> </w:t>
      </w:r>
      <w:r>
        <w:rPr>
          <w:rFonts w:hint="eastAsia" w:ascii="宋体" w:hAnsi="宋体" w:cs="宋体"/>
          <w:i/>
          <w:iCs/>
          <w:sz w:val="24"/>
          <w:szCs w:val="24"/>
          <w:u w:val="single"/>
        </w:rPr>
        <w:t>（ 企业名称 ）</w:t>
      </w:r>
      <w:r>
        <w:rPr>
          <w:rFonts w:hint="eastAsia" w:ascii="宋体" w:hAnsi="宋体" w:cs="宋体"/>
          <w:sz w:val="24"/>
          <w:szCs w:val="24"/>
          <w:u w:val="single"/>
        </w:rPr>
        <w:t xml:space="preserve"> </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 xml:space="preserve"> </w:t>
      </w:r>
      <w:r>
        <w:rPr>
          <w:rFonts w:hint="eastAsia" w:ascii="宋体" w:hAnsi="宋体" w:cs="宋体"/>
          <w:i/>
          <w:iCs/>
          <w:sz w:val="24"/>
          <w:szCs w:val="24"/>
          <w:u w:val="single"/>
        </w:rPr>
        <w:t>（ 中型企业、小型企业、微型企业 ）</w:t>
      </w:r>
      <w:r>
        <w:rPr>
          <w:rFonts w:hint="eastAsia" w:ascii="宋体" w:hAnsi="宋体" w:cs="宋体"/>
          <w:sz w:val="24"/>
          <w:szCs w:val="24"/>
          <w:u w:val="single"/>
        </w:rPr>
        <w:t xml:space="preserve"> </w:t>
      </w:r>
      <w:r>
        <w:rPr>
          <w:rFonts w:hint="eastAsia" w:ascii="宋体" w:hAnsi="宋体" w:cs="宋体"/>
          <w:sz w:val="24"/>
          <w:szCs w:val="24"/>
        </w:rPr>
        <w:t>；</w:t>
      </w:r>
    </w:p>
    <w:p w14:paraId="69D54C2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w:t>
      </w:r>
    </w:p>
    <w:p w14:paraId="02BA9E5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2A21FC8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14:paraId="3653826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7299FDE1">
      <w:pPr>
        <w:keepNext w:val="0"/>
        <w:keepLines w:val="0"/>
        <w:pageBreakBefore w:val="0"/>
        <w:widowControl w:val="0"/>
        <w:kinsoku/>
        <w:wordWrap/>
        <w:overflowPunct/>
        <w:topLinePunct w:val="0"/>
        <w:autoSpaceDE/>
        <w:autoSpaceDN/>
        <w:bidi w:val="0"/>
        <w:adjustRightInd/>
        <w:spacing w:line="360" w:lineRule="auto"/>
        <w:ind w:firstLine="4320" w:firstLineChars="1800"/>
        <w:textAlignment w:val="auto"/>
        <w:rPr>
          <w:rFonts w:hint="eastAsia" w:ascii="宋体" w:hAnsi="宋体" w:cs="宋体"/>
          <w:sz w:val="24"/>
          <w:szCs w:val="24"/>
        </w:rPr>
      </w:pPr>
      <w:r>
        <w:rPr>
          <w:rFonts w:hint="eastAsia" w:ascii="宋体" w:hAnsi="宋体" w:cs="宋体"/>
          <w:sz w:val="24"/>
          <w:szCs w:val="24"/>
        </w:rPr>
        <w:t>企业名称（盖章）：</w:t>
      </w:r>
    </w:p>
    <w:p w14:paraId="6FE7CC49">
      <w:pPr>
        <w:keepNext w:val="0"/>
        <w:keepLines w:val="0"/>
        <w:pageBreakBefore w:val="0"/>
        <w:widowControl w:val="0"/>
        <w:kinsoku/>
        <w:wordWrap/>
        <w:overflowPunct/>
        <w:topLinePunct w:val="0"/>
        <w:autoSpaceDE/>
        <w:autoSpaceDN/>
        <w:bidi w:val="0"/>
        <w:adjustRightInd/>
        <w:spacing w:line="360" w:lineRule="auto"/>
        <w:ind w:firstLine="4320" w:firstLineChars="1800"/>
        <w:textAlignment w:val="auto"/>
        <w:rPr>
          <w:rFonts w:hint="eastAsia" w:ascii="宋体" w:hAnsi="宋体" w:cs="宋体"/>
          <w:sz w:val="24"/>
          <w:szCs w:val="24"/>
        </w:rPr>
      </w:pPr>
      <w:r>
        <w:rPr>
          <w:rFonts w:hint="eastAsia" w:ascii="宋体" w:hAnsi="宋体" w:cs="宋体"/>
          <w:sz w:val="24"/>
          <w:szCs w:val="24"/>
        </w:rPr>
        <w:t>日 期：</w:t>
      </w:r>
    </w:p>
    <w:p w14:paraId="5613151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p>
    <w:p w14:paraId="455AEE2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p>
    <w:p w14:paraId="67DFB83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p>
    <w:p w14:paraId="4BEF9C1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p>
    <w:p w14:paraId="2965C581">
      <w:pPr>
        <w:keepNext w:val="0"/>
        <w:keepLines w:val="0"/>
        <w:pageBreakBefore w:val="0"/>
        <w:widowControl w:val="0"/>
        <w:kinsoku/>
        <w:wordWrap/>
        <w:overflowPunct/>
        <w:topLinePunct w:val="0"/>
        <w:autoSpaceDE/>
        <w:autoSpaceDN/>
        <w:bidi w:val="0"/>
        <w:adjustRightInd/>
        <w:spacing w:line="360" w:lineRule="auto"/>
        <w:jc w:val="center"/>
        <w:textAlignment w:val="auto"/>
        <w:outlineLvl w:val="3"/>
        <w:rPr>
          <w:rFonts w:hint="eastAsia" w:ascii="宋体" w:hAnsi="宋体" w:cs="宋体"/>
          <w:sz w:val="24"/>
          <w:szCs w:val="24"/>
        </w:rPr>
      </w:pPr>
      <w:r>
        <w:rPr>
          <w:rFonts w:hint="eastAsia" w:ascii="宋体" w:hAnsi="宋体" w:cs="宋体"/>
          <w:sz w:val="24"/>
          <w:szCs w:val="24"/>
        </w:rPr>
        <w:br w:type="page"/>
      </w:r>
      <w:bookmarkStart w:id="33" w:name="_Toc3780"/>
      <w:bookmarkStart w:id="34" w:name="_Toc17321"/>
      <w:bookmarkStart w:id="35" w:name="_Toc13395"/>
      <w:r>
        <w:rPr>
          <w:rFonts w:hint="eastAsia" w:ascii="宋体" w:hAnsi="宋体" w:cs="宋体"/>
          <w:sz w:val="24"/>
          <w:szCs w:val="24"/>
        </w:rPr>
        <w:t>（二）监狱企业证明</w:t>
      </w:r>
      <w:bookmarkEnd w:id="33"/>
      <w:bookmarkEnd w:id="34"/>
      <w:bookmarkEnd w:id="35"/>
    </w:p>
    <w:p w14:paraId="410A917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sz w:val="24"/>
          <w:szCs w:val="24"/>
        </w:rPr>
      </w:pPr>
      <w:r>
        <w:rPr>
          <w:rFonts w:hint="eastAsia" w:ascii="宋体" w:hAnsi="宋体" w:cs="宋体"/>
          <w:sz w:val="24"/>
          <w:szCs w:val="24"/>
        </w:rPr>
        <w:t>（注：符合条件的监狱企业请提供本函，不符合的不提供本函）</w:t>
      </w:r>
    </w:p>
    <w:p w14:paraId="110F5B59">
      <w:pPr>
        <w:pStyle w:val="12"/>
        <w:keepNext w:val="0"/>
        <w:keepLines w:val="0"/>
        <w:pageBreakBefore w:val="0"/>
        <w:widowControl w:val="0"/>
        <w:kinsoku/>
        <w:wordWrap/>
        <w:overflowPunct/>
        <w:topLinePunct w:val="0"/>
        <w:autoSpaceDE/>
        <w:autoSpaceDN/>
        <w:bidi w:val="0"/>
        <w:adjustRightInd/>
        <w:snapToGrid w:val="0"/>
        <w:spacing w:before="159" w:beforeLines="50" w:line="360" w:lineRule="auto"/>
        <w:textAlignment w:val="auto"/>
        <w:rPr>
          <w:rFonts w:hint="eastAsia" w:hAnsi="宋体" w:cs="宋体"/>
          <w:sz w:val="24"/>
          <w:szCs w:val="24"/>
        </w:rPr>
      </w:pPr>
    </w:p>
    <w:p w14:paraId="01068885">
      <w:pPr>
        <w:keepNext w:val="0"/>
        <w:keepLines w:val="0"/>
        <w:pageBreakBefore w:val="0"/>
        <w:widowControl w:val="0"/>
        <w:kinsoku/>
        <w:wordWrap/>
        <w:overflowPunct/>
        <w:topLinePunct w:val="0"/>
        <w:autoSpaceDE/>
        <w:autoSpaceDN/>
        <w:bidi w:val="0"/>
        <w:adjustRightInd/>
        <w:snapToGrid w:val="0"/>
        <w:spacing w:before="159" w:beforeLines="5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省级以上监狱管理局、戒毒管理局（含新疆生产建设兵团）出具的属于监狱企业的证明文件。</w:t>
      </w:r>
    </w:p>
    <w:p w14:paraId="5CD417A5">
      <w:pPr>
        <w:pStyle w:val="12"/>
        <w:keepNext w:val="0"/>
        <w:keepLines w:val="0"/>
        <w:pageBreakBefore w:val="0"/>
        <w:widowControl w:val="0"/>
        <w:kinsoku/>
        <w:wordWrap/>
        <w:overflowPunct/>
        <w:topLinePunct w:val="0"/>
        <w:autoSpaceDE/>
        <w:autoSpaceDN/>
        <w:bidi w:val="0"/>
        <w:adjustRightInd/>
        <w:snapToGrid w:val="0"/>
        <w:spacing w:before="159" w:beforeLines="50" w:line="360" w:lineRule="auto"/>
        <w:textAlignment w:val="auto"/>
        <w:rPr>
          <w:rFonts w:hint="eastAsia" w:hAnsi="宋体" w:cs="宋体"/>
          <w:sz w:val="24"/>
          <w:szCs w:val="24"/>
        </w:rPr>
      </w:pPr>
    </w:p>
    <w:p w14:paraId="3BBEBB7C">
      <w:pPr>
        <w:keepNext w:val="0"/>
        <w:keepLines w:val="0"/>
        <w:pageBreakBefore w:val="0"/>
        <w:widowControl w:val="0"/>
        <w:kinsoku/>
        <w:wordWrap/>
        <w:overflowPunct/>
        <w:topLinePunct w:val="0"/>
        <w:autoSpaceDE/>
        <w:autoSpaceDN/>
        <w:bidi w:val="0"/>
        <w:adjustRightInd/>
        <w:spacing w:line="360" w:lineRule="auto"/>
        <w:jc w:val="center"/>
        <w:textAlignment w:val="auto"/>
        <w:outlineLvl w:val="3"/>
        <w:rPr>
          <w:rFonts w:hint="eastAsia" w:ascii="宋体" w:hAnsi="宋体" w:cs="宋体"/>
          <w:sz w:val="24"/>
          <w:szCs w:val="24"/>
        </w:rPr>
      </w:pPr>
      <w:bookmarkStart w:id="36" w:name="_Toc10862"/>
      <w:bookmarkStart w:id="37" w:name="_Toc25672"/>
      <w:bookmarkStart w:id="38" w:name="_Toc13898"/>
      <w:r>
        <w:rPr>
          <w:rFonts w:hint="eastAsia" w:ascii="宋体" w:hAnsi="宋体" w:cs="宋体"/>
          <w:sz w:val="24"/>
          <w:szCs w:val="24"/>
        </w:rPr>
        <w:t>（三）残疾人福利性单位声明函</w:t>
      </w:r>
      <w:bookmarkEnd w:id="36"/>
      <w:bookmarkEnd w:id="37"/>
      <w:bookmarkEnd w:id="38"/>
    </w:p>
    <w:p w14:paraId="21887B4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sz w:val="24"/>
          <w:szCs w:val="24"/>
        </w:rPr>
      </w:pPr>
      <w:r>
        <w:rPr>
          <w:rFonts w:hint="eastAsia" w:ascii="宋体" w:hAnsi="宋体" w:cs="宋体"/>
          <w:sz w:val="24"/>
          <w:szCs w:val="24"/>
        </w:rPr>
        <w:t>（注：符合条件的残疾人福利性单位请提供本函，不符合的不提供本函）</w:t>
      </w:r>
    </w:p>
    <w:p w14:paraId="3F804C2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p>
    <w:p w14:paraId="6AE7D8E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p>
    <w:p w14:paraId="121BDB6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135E62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37C4C53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本单位对上述声明的真实性负责。如有虚假，将依法承担相应责任。</w:t>
      </w:r>
    </w:p>
    <w:p w14:paraId="51A1B2D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p>
    <w:p w14:paraId="7393E53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 </w:t>
      </w:r>
    </w:p>
    <w:p w14:paraId="3941BC5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p>
    <w:p w14:paraId="0F7B98C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p>
    <w:p w14:paraId="7753C952">
      <w:pPr>
        <w:keepNext w:val="0"/>
        <w:keepLines w:val="0"/>
        <w:pageBreakBefore w:val="0"/>
        <w:widowControl w:val="0"/>
        <w:kinsoku/>
        <w:wordWrap/>
        <w:overflowPunct/>
        <w:topLinePunct w:val="0"/>
        <w:autoSpaceDE/>
        <w:autoSpaceDN/>
        <w:bidi w:val="0"/>
        <w:adjustRightInd/>
        <w:spacing w:line="360" w:lineRule="auto"/>
        <w:ind w:firstLine="5040" w:firstLineChars="2100"/>
        <w:textAlignment w:val="auto"/>
        <w:rPr>
          <w:rFonts w:hint="eastAsia" w:ascii="宋体" w:hAnsi="宋体" w:cs="宋体"/>
          <w:sz w:val="24"/>
          <w:szCs w:val="24"/>
        </w:rPr>
      </w:pPr>
      <w:r>
        <w:rPr>
          <w:rFonts w:hint="eastAsia" w:ascii="宋体" w:hAnsi="宋体" w:cs="宋体"/>
          <w:sz w:val="24"/>
          <w:szCs w:val="24"/>
        </w:rPr>
        <w:t>单位名称（盖章）：</w:t>
      </w:r>
    </w:p>
    <w:p w14:paraId="1AC2861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sz w:val="24"/>
          <w:szCs w:val="24"/>
        </w:rPr>
      </w:pPr>
    </w:p>
    <w:p w14:paraId="44B1B841">
      <w:pPr>
        <w:keepNext w:val="0"/>
        <w:keepLines w:val="0"/>
        <w:pageBreakBefore w:val="0"/>
        <w:widowControl w:val="0"/>
        <w:kinsoku/>
        <w:wordWrap/>
        <w:overflowPunct/>
        <w:topLinePunct w:val="0"/>
        <w:autoSpaceDE/>
        <w:autoSpaceDN/>
        <w:bidi w:val="0"/>
        <w:adjustRightInd/>
        <w:spacing w:line="360" w:lineRule="auto"/>
        <w:ind w:firstLine="5040" w:firstLineChars="2100"/>
        <w:textAlignment w:val="auto"/>
        <w:rPr>
          <w:rFonts w:hint="eastAsia"/>
          <w:sz w:val="24"/>
          <w:szCs w:val="24"/>
        </w:rPr>
      </w:pPr>
      <w:r>
        <w:rPr>
          <w:rFonts w:hint="eastAsia" w:ascii="宋体" w:hAnsi="宋体" w:cs="宋体"/>
          <w:sz w:val="24"/>
          <w:szCs w:val="24"/>
        </w:rPr>
        <w:t>日  期：</w:t>
      </w:r>
      <w:bookmarkEnd w:id="27"/>
    </w:p>
    <w:p w14:paraId="677DA354">
      <w:pPr>
        <w:spacing w:line="500" w:lineRule="exact"/>
        <w:ind w:left="487"/>
        <w:jc w:val="center"/>
        <w:outlineLvl w:val="3"/>
        <w:rPr>
          <w:color w:val="000000"/>
          <w:sz w:val="28"/>
          <w:szCs w:val="28"/>
        </w:rPr>
      </w:pPr>
    </w:p>
    <w:p w14:paraId="188EE425"/>
    <w:sectPr>
      <w:footerReference r:id="rId7" w:type="default"/>
      <w:pgSz w:w="11906" w:h="16838"/>
      <w:pgMar w:top="1418" w:right="1247"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71BF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52CC2">
    <w:pPr>
      <w:pStyle w:val="6"/>
      <w:jc w:val="center"/>
    </w:pPr>
    <w:r>
      <w:fldChar w:fldCharType="begin"/>
    </w:r>
    <w:r>
      <w:instrText xml:space="preserve">PAGE   \* MERGEFORMAT</w:instrText>
    </w:r>
    <w:r>
      <w:fldChar w:fldCharType="separate"/>
    </w:r>
    <w:r>
      <w:rPr>
        <w:lang w:val="zh-CN"/>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C621E">
    <w:pPr>
      <w:pStyle w:val="6"/>
      <w:ind w:firstLine="90" w:firstLineChars="5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868D6D">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79868D6D">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8CE37">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811486">
                          <w:pPr>
                            <w:pStyle w:val="6"/>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3811486">
                    <w:pPr>
                      <w:pStyle w:val="6"/>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672BC">
    <w:pPr>
      <w:pStyle w:val="7"/>
      <w:pBdr>
        <w:bottom w:val="none" w:color="auto" w:sz="0" w:space="1"/>
      </w:pBdr>
      <w:tabs>
        <w:tab w:val="left" w:pos="1046"/>
      </w:tabs>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583D0"/>
    <w:multiLevelType w:val="singleLevel"/>
    <w:tmpl w:val="C9C583D0"/>
    <w:lvl w:ilvl="0" w:tentative="0">
      <w:start w:val="5"/>
      <w:numFmt w:val="decimal"/>
      <w:lvlText w:val="%1."/>
      <w:lvlJc w:val="left"/>
      <w:pPr>
        <w:tabs>
          <w:tab w:val="left" w:pos="312"/>
        </w:tabs>
      </w:p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3A8A0B1A"/>
    <w:multiLevelType w:val="multilevel"/>
    <w:tmpl w:val="3A8A0B1A"/>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F26E5"/>
    <w:rsid w:val="117B29B2"/>
    <w:rsid w:val="31CB0781"/>
    <w:rsid w:val="5DDE037C"/>
    <w:rsid w:val="63051E9B"/>
    <w:rsid w:val="645B1A8B"/>
    <w:rsid w:val="7D0F1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line="578" w:lineRule="auto"/>
      <w:outlineLvl w:val="0"/>
    </w:pPr>
    <w:rPr>
      <w:rFonts w:eastAsia="仿宋"/>
      <w:b/>
      <w:bCs/>
      <w:kern w:val="44"/>
      <w:sz w:val="28"/>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line="240" w:lineRule="auto"/>
      <w:ind w:left="420" w:leftChars="200" w:firstLine="200" w:firstLineChars="200"/>
    </w:pPr>
    <w:rPr>
      <w:kern w:val="2"/>
      <w:sz w:val="21"/>
      <w:szCs w:val="24"/>
    </w:rPr>
  </w:style>
  <w:style w:type="paragraph" w:styleId="3">
    <w:name w:val="Body Text Indent"/>
    <w:basedOn w:val="1"/>
    <w:next w:val="4"/>
    <w:unhideWhenUsed/>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1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Plain Text"/>
    <w:basedOn w:val="1"/>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16345</Words>
  <Characters>16581</Characters>
  <Lines>0</Lines>
  <Paragraphs>0</Paragraphs>
  <TotalTime>17</TotalTime>
  <ScaleCrop>false</ScaleCrop>
  <LinksUpToDate>false</LinksUpToDate>
  <CharactersWithSpaces>17380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2025-06-24T01:49:00Z</dcterms:created>
  <dc:creator>Administrator</dc:creator>
  <cp:lastModifiedBy>Apple</cp:lastModifiedBy>
  <dcterms:modified xsi:type="dcterms:W3CDTF">2025-07-10T07:44:34Z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C6E34C05A73F444F86D64E4B1F6EA165</vt:lpwstr>
  </property>
  <property fmtid="{D5CDD505-2E9C-101B-9397-08002B2CF9AE}" pid="4" name="KSOTemplateDocerSaveRecord">
    <vt:lpwstr>eyJoZGlkIjoiNTVkMTk0NDllYWQwOTYyMTMxMWRiNjI1MTRjOGFjNDgiLCJ1c2VySWQiOiIyNTQyODM0MDIifQ==</vt:lpwstr>
  </property>
</Properties>
</file>