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FDB6C">
      <w:pPr>
        <w:tabs>
          <w:tab w:val="left" w:pos="5760"/>
          <w:tab w:val="left" w:pos="6300"/>
        </w:tabs>
        <w:spacing w:line="360" w:lineRule="auto"/>
        <w:jc w:val="center"/>
        <w:rPr>
          <w:rFonts w:ascii="Times New Roman" w:hAnsi="Times New Roman"/>
          <w:color w:val="000000" w:themeColor="text1"/>
          <w:sz w:val="44"/>
          <w:szCs w:val="44"/>
          <w14:textFill>
            <w14:solidFill>
              <w14:schemeClr w14:val="tx1"/>
            </w14:solidFill>
          </w14:textFill>
        </w:rPr>
      </w:pPr>
    </w:p>
    <w:p w14:paraId="72117DEC">
      <w:pPr>
        <w:spacing w:line="360" w:lineRule="auto"/>
        <w:jc w:val="center"/>
        <w:rPr>
          <w:rFonts w:ascii="Times New Roman" w:hAnsi="Times New Roman"/>
          <w:b/>
          <w:color w:val="000000" w:themeColor="text1"/>
          <w:sz w:val="48"/>
          <w:szCs w:val="72"/>
          <w14:textFill>
            <w14:solidFill>
              <w14:schemeClr w14:val="tx1"/>
            </w14:solidFill>
          </w14:textFill>
        </w:rPr>
      </w:pPr>
    </w:p>
    <w:p w14:paraId="62199F06">
      <w:pPr>
        <w:spacing w:line="360" w:lineRule="auto"/>
        <w:jc w:val="center"/>
        <w:rPr>
          <w:rFonts w:ascii="Times New Roman" w:hAnsi="Times New Roman"/>
          <w:b/>
          <w:color w:val="000000" w:themeColor="text1"/>
          <w:sz w:val="48"/>
          <w:szCs w:val="72"/>
          <w14:textFill>
            <w14:solidFill>
              <w14:schemeClr w14:val="tx1"/>
            </w14:solidFill>
          </w14:textFill>
        </w:rPr>
      </w:pPr>
      <w:r>
        <w:rPr>
          <w:rFonts w:hint="eastAsia" w:ascii="Times New Roman" w:hAnsi="Times New Roman"/>
          <w:b/>
          <w:color w:val="000000" w:themeColor="text1"/>
          <w:sz w:val="48"/>
          <w:szCs w:val="72"/>
          <w14:textFill>
            <w14:solidFill>
              <w14:schemeClr w14:val="tx1"/>
            </w14:solidFill>
          </w14:textFill>
        </w:rPr>
        <w:t>南通市近岸海域水质调查与治理评估项目</w:t>
      </w:r>
    </w:p>
    <w:p w14:paraId="0BF69514">
      <w:pPr>
        <w:spacing w:line="360" w:lineRule="auto"/>
        <w:jc w:val="center"/>
        <w:rPr>
          <w:rFonts w:ascii="Times New Roman" w:hAnsi="Times New Roman"/>
          <w:b/>
          <w:color w:val="000000" w:themeColor="text1"/>
          <w:sz w:val="48"/>
          <w:szCs w:val="72"/>
          <w14:textFill>
            <w14:solidFill>
              <w14:schemeClr w14:val="tx1"/>
            </w14:solidFill>
          </w14:textFill>
        </w:rPr>
      </w:pPr>
    </w:p>
    <w:p w14:paraId="0DC1E953">
      <w:pPr>
        <w:spacing w:line="360" w:lineRule="auto"/>
        <w:jc w:val="center"/>
        <w:rPr>
          <w:rFonts w:ascii="Times New Roman" w:hAnsi="Times New Roman"/>
          <w:b/>
          <w:color w:val="000000" w:themeColor="text1"/>
          <w:sz w:val="72"/>
          <w:szCs w:val="56"/>
          <w14:textFill>
            <w14:solidFill>
              <w14:schemeClr w14:val="tx1"/>
            </w14:solidFill>
          </w14:textFill>
        </w:rPr>
      </w:pPr>
    </w:p>
    <w:p w14:paraId="6320CC73">
      <w:pPr>
        <w:pStyle w:val="221"/>
        <w:rPr>
          <w:color w:val="000000" w:themeColor="text1"/>
          <w14:textFill>
            <w14:solidFill>
              <w14:schemeClr w14:val="tx1"/>
            </w14:solidFill>
          </w14:textFill>
        </w:rPr>
      </w:pPr>
    </w:p>
    <w:p w14:paraId="7C503390">
      <w:pPr>
        <w:spacing w:line="360" w:lineRule="auto"/>
        <w:jc w:val="center"/>
        <w:rPr>
          <w:rFonts w:ascii="Times New Roman" w:hAnsi="Times New Roman"/>
          <w:b/>
          <w:color w:val="000000" w:themeColor="text1"/>
          <w:sz w:val="72"/>
          <w:szCs w:val="56"/>
          <w14:textFill>
            <w14:solidFill>
              <w14:schemeClr w14:val="tx1"/>
            </w14:solidFill>
          </w14:textFill>
        </w:rPr>
      </w:pPr>
      <w:r>
        <w:rPr>
          <w:rFonts w:ascii="Times New Roman" w:hAnsi="Times New Roman"/>
          <w:b/>
          <w:color w:val="000000" w:themeColor="text1"/>
          <w:sz w:val="72"/>
          <w:szCs w:val="56"/>
          <w14:textFill>
            <w14:solidFill>
              <w14:schemeClr w14:val="tx1"/>
            </w14:solidFill>
          </w14:textFill>
        </w:rPr>
        <w:t>竞争性磋商文件</w:t>
      </w:r>
    </w:p>
    <w:p w14:paraId="2BD708B6">
      <w:pPr>
        <w:spacing w:line="360" w:lineRule="auto"/>
        <w:jc w:val="center"/>
        <w:rPr>
          <w:rFonts w:ascii="Times New Roman" w:hAnsi="Times New Roman"/>
          <w:b/>
          <w:color w:val="000000" w:themeColor="text1"/>
          <w:sz w:val="44"/>
          <w:szCs w:val="44"/>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（资格后审）</w:t>
      </w:r>
    </w:p>
    <w:p w14:paraId="7375E915">
      <w:pPr>
        <w:spacing w:line="360" w:lineRule="auto"/>
        <w:jc w:val="center"/>
        <w:rPr>
          <w:rFonts w:ascii="Times New Roman" w:hAnsi="Times New Roman"/>
          <w:b/>
          <w:color w:val="000000" w:themeColor="text1"/>
          <w:sz w:val="36"/>
          <w14:textFill>
            <w14:solidFill>
              <w14:schemeClr w14:val="tx1"/>
            </w14:solidFill>
          </w14:textFill>
        </w:rPr>
      </w:pPr>
    </w:p>
    <w:p w14:paraId="0D7BC8F6">
      <w:pPr>
        <w:spacing w:line="360" w:lineRule="auto"/>
        <w:jc w:val="center"/>
        <w:rPr>
          <w:rFonts w:ascii="Times New Roman" w:hAnsi="Times New Roman"/>
          <w:b/>
          <w:color w:val="000000" w:themeColor="text1"/>
          <w:sz w:val="36"/>
          <w14:textFill>
            <w14:solidFill>
              <w14:schemeClr w14:val="tx1"/>
            </w14:solidFill>
          </w14:textFill>
        </w:rPr>
      </w:pPr>
    </w:p>
    <w:p w14:paraId="60D9426F">
      <w:pPr>
        <w:spacing w:line="360" w:lineRule="auto"/>
        <w:rPr>
          <w:rFonts w:ascii="Times New Roman" w:hAnsi="Times New Roman"/>
          <w:b/>
          <w:color w:val="000000" w:themeColor="text1"/>
          <w:sz w:val="36"/>
          <w14:textFill>
            <w14:solidFill>
              <w14:schemeClr w14:val="tx1"/>
            </w14:solidFill>
          </w14:textFill>
        </w:rPr>
      </w:pPr>
    </w:p>
    <w:p w14:paraId="0F0431C7">
      <w:pPr>
        <w:spacing w:line="360" w:lineRule="auto"/>
        <w:rPr>
          <w:rFonts w:ascii="Times New Roman" w:hAnsi="Times New Roman" w:cs="宋体"/>
          <w:b/>
          <w:color w:val="000000" w:themeColor="text1"/>
          <w:sz w:val="30"/>
          <w:szCs w:val="30"/>
          <w14:textFill>
            <w14:solidFill>
              <w14:schemeClr w14:val="tx1"/>
            </w14:solidFill>
          </w14:textFill>
        </w:rPr>
      </w:pPr>
    </w:p>
    <w:p w14:paraId="2EF64E46">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采购单位：南通市生态环境局</w:t>
      </w:r>
    </w:p>
    <w:p w14:paraId="3A25A900">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代理机构：中通服网盈科技有限公司</w:t>
      </w:r>
    </w:p>
    <w:p w14:paraId="51D1291C">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2026年</w:t>
      </w:r>
      <w:r>
        <w:rPr>
          <w:rFonts w:hint="eastAsia" w:ascii="Times New Roman" w:hAnsi="Times New Roman" w:cs="宋体"/>
          <w:b/>
          <w:color w:val="000000" w:themeColor="text1"/>
          <w:sz w:val="30"/>
          <w:szCs w:val="30"/>
          <w:highlight w:val="none"/>
          <w14:textFill>
            <w14:solidFill>
              <w14:schemeClr w14:val="tx1"/>
            </w14:solidFill>
          </w14:textFill>
        </w:rPr>
        <w:t>0</w:t>
      </w:r>
      <w:r>
        <w:rPr>
          <w:rFonts w:hint="eastAsia" w:ascii="Times New Roman" w:hAnsi="Times New Roman" w:cs="宋体"/>
          <w:b/>
          <w:color w:val="000000" w:themeColor="text1"/>
          <w:sz w:val="30"/>
          <w:szCs w:val="30"/>
          <w:highlight w:val="none"/>
          <w:lang w:val="en-US" w:eastAsia="zh-CN"/>
          <w14:textFill>
            <w14:solidFill>
              <w14:schemeClr w14:val="tx1"/>
            </w14:solidFill>
          </w14:textFill>
        </w:rPr>
        <w:t>2</w:t>
      </w:r>
      <w:r>
        <w:rPr>
          <w:rFonts w:hint="eastAsia" w:ascii="Times New Roman" w:hAnsi="Times New Roman" w:cs="宋体"/>
          <w:b/>
          <w:color w:val="000000" w:themeColor="text1"/>
          <w:sz w:val="30"/>
          <w:szCs w:val="30"/>
          <w:highlight w:val="none"/>
          <w14:textFill>
            <w14:solidFill>
              <w14:schemeClr w14:val="tx1"/>
            </w14:solidFill>
          </w14:textFill>
        </w:rPr>
        <w:t>月</w:t>
      </w:r>
      <w:r>
        <w:rPr>
          <w:rFonts w:hint="eastAsia" w:ascii="Times New Roman" w:hAnsi="Times New Roman" w:cs="宋体"/>
          <w:b/>
          <w:color w:val="000000" w:themeColor="text1"/>
          <w:sz w:val="30"/>
          <w:szCs w:val="30"/>
          <w:highlight w:val="none"/>
          <w:lang w:val="en-US" w:eastAsia="zh-CN"/>
          <w14:textFill>
            <w14:solidFill>
              <w14:schemeClr w14:val="tx1"/>
            </w14:solidFill>
          </w14:textFill>
        </w:rPr>
        <w:t>02</w:t>
      </w:r>
      <w:r>
        <w:rPr>
          <w:rFonts w:hint="eastAsia" w:ascii="Times New Roman" w:hAnsi="Times New Roman" w:cs="宋体"/>
          <w:b/>
          <w:color w:val="000000" w:themeColor="text1"/>
          <w:sz w:val="30"/>
          <w:szCs w:val="30"/>
          <w:highlight w:val="none"/>
          <w14:textFill>
            <w14:solidFill>
              <w14:schemeClr w14:val="tx1"/>
            </w14:solidFill>
          </w14:textFill>
        </w:rPr>
        <w:t>日</w:t>
      </w:r>
    </w:p>
    <w:p w14:paraId="6022F548">
      <w:pPr>
        <w:widowControl/>
        <w:jc w:val="left"/>
        <w:rPr>
          <w:rFonts w:ascii="Times New Roman" w:hAnsi="Times New Roman"/>
          <w:b/>
          <w:color w:val="000000" w:themeColor="text1"/>
          <w:sz w:val="44"/>
          <w:szCs w:val="44"/>
          <w14:textFill>
            <w14:solidFill>
              <w14:schemeClr w14:val="tx1"/>
            </w14:solidFill>
          </w14:textFill>
        </w:rPr>
      </w:pPr>
      <w:r>
        <w:rPr>
          <w:rFonts w:ascii="Times New Roman" w:hAnsi="Times New Roman"/>
          <w:b/>
          <w:color w:val="000000" w:themeColor="text1"/>
          <w:sz w:val="44"/>
          <w:szCs w:val="44"/>
          <w14:textFill>
            <w14:solidFill>
              <w14:schemeClr w14:val="tx1"/>
            </w14:solidFill>
          </w14:textFill>
        </w:rPr>
        <w:br w:type="page" w:clear="all"/>
      </w:r>
    </w:p>
    <w:p w14:paraId="3828AA64">
      <w:pPr>
        <w:spacing w:line="360" w:lineRule="auto"/>
        <w:jc w:val="center"/>
        <w:outlineLvl w:val="0"/>
        <w:rPr>
          <w:rFonts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目录</w:t>
      </w:r>
    </w:p>
    <w:p w14:paraId="0B1D9300">
      <w:pPr>
        <w:pStyle w:val="7"/>
        <w:ind w:firstLine="0"/>
        <w:jc w:val="center"/>
        <w:rPr>
          <w:rFonts w:ascii="Times New Roman" w:hAnsi="Times New Roman" w:eastAsia="宋体"/>
          <w:color w:val="000000" w:themeColor="text1"/>
          <w:sz w:val="30"/>
          <w:lang w:eastAsia="zh-CN"/>
          <w14:textFill>
            <w14:solidFill>
              <w14:schemeClr w14:val="tx1"/>
            </w14:solidFill>
          </w14:textFill>
        </w:rPr>
      </w:pPr>
    </w:p>
    <w:p w14:paraId="089D2438">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b/>
          <w:bCs/>
          <w:color w:val="000000" w:themeColor="text1"/>
          <w:sz w:val="36"/>
          <w:szCs w:val="36"/>
          <w14:textFill>
            <w14:solidFill>
              <w14:schemeClr w14:val="tx1"/>
            </w14:solidFill>
          </w14:textFill>
        </w:rPr>
        <w:fldChar w:fldCharType="begin"/>
      </w:r>
      <w:r>
        <w:rPr>
          <w:rFonts w:ascii="Times New Roman" w:hAnsi="Times New Roman" w:eastAsia="宋体"/>
          <w:b/>
          <w:bCs/>
          <w:color w:val="000000" w:themeColor="text1"/>
          <w:sz w:val="36"/>
          <w:szCs w:val="36"/>
          <w14:textFill>
            <w14:solidFill>
              <w14:schemeClr w14:val="tx1"/>
            </w14:solidFill>
          </w14:textFill>
        </w:rPr>
        <w:instrText xml:space="preserve"> TOC \o "1-1"</w:instrText>
      </w:r>
      <w:r>
        <w:rPr>
          <w:rFonts w:ascii="Times New Roman" w:hAnsi="Times New Roman" w:eastAsia="宋体"/>
          <w:b/>
          <w:bCs/>
          <w:color w:val="000000" w:themeColor="text1"/>
          <w:sz w:val="36"/>
          <w:szCs w:val="36"/>
          <w14:textFill>
            <w14:solidFill>
              <w14:schemeClr w14:val="tx1"/>
            </w14:solidFill>
          </w14:textFill>
        </w:rPr>
        <w:fldChar w:fldCharType="separate"/>
      </w:r>
      <w:r>
        <w:rPr>
          <w:rFonts w:ascii="Times New Roman" w:hAnsi="Times New Roman" w:eastAsia="宋体"/>
          <w:color w:val="000000" w:themeColor="text1"/>
          <w:sz w:val="32"/>
          <w:szCs w:val="32"/>
          <w14:textFill>
            <w14:solidFill>
              <w14:schemeClr w14:val="tx1"/>
            </w14:solidFill>
          </w14:textFill>
        </w:rPr>
        <w:t>第一章</w:t>
      </w:r>
      <w:r>
        <w:rPr>
          <w:rFonts w:hint="eastAsia" w:ascii="Times New Roman" w:hAnsi="Times New Roman" w:eastAsia="宋体"/>
          <w:color w:val="000000" w:themeColor="text1"/>
          <w:sz w:val="32"/>
          <w:szCs w:val="32"/>
          <w14:textFill>
            <w14:solidFill>
              <w14:schemeClr w14:val="tx1"/>
            </w14:solidFill>
          </w14:textFill>
        </w:rPr>
        <w:t xml:space="preserve"> 竞争性磋商公告</w:t>
      </w:r>
    </w:p>
    <w:p w14:paraId="0F833B2F">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第二章</w:t>
      </w:r>
      <w:r>
        <w:rPr>
          <w:rFonts w:hint="eastAsia" w:ascii="Times New Roman" w:hAnsi="Times New Roman" w:eastAsia="宋体"/>
          <w:color w:val="000000" w:themeColor="text1"/>
          <w:sz w:val="32"/>
          <w:szCs w:val="32"/>
          <w14:textFill>
            <w14:solidFill>
              <w14:schemeClr w14:val="tx1"/>
            </w14:solidFill>
          </w14:textFill>
        </w:rPr>
        <w:t xml:space="preserve"> 供应商</w:t>
      </w:r>
      <w:r>
        <w:rPr>
          <w:rFonts w:ascii="Times New Roman" w:hAnsi="Times New Roman" w:eastAsia="宋体"/>
          <w:color w:val="000000" w:themeColor="text1"/>
          <w:sz w:val="32"/>
          <w:szCs w:val="32"/>
          <w14:textFill>
            <w14:solidFill>
              <w14:schemeClr w14:val="tx1"/>
            </w14:solidFill>
          </w14:textFill>
        </w:rPr>
        <w:t>须知</w:t>
      </w:r>
    </w:p>
    <w:p w14:paraId="38822E73">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第三章</w:t>
      </w:r>
      <w:r>
        <w:rPr>
          <w:rFonts w:hint="eastAsia" w:ascii="Times New Roman" w:hAnsi="Times New Roman" w:eastAsia="宋体"/>
          <w:color w:val="000000" w:themeColor="text1"/>
          <w:sz w:val="32"/>
          <w:szCs w:val="32"/>
          <w14:textFill>
            <w14:solidFill>
              <w14:schemeClr w14:val="tx1"/>
            </w14:solidFill>
          </w14:textFill>
        </w:rPr>
        <w:t xml:space="preserve"> </w:t>
      </w:r>
      <w:r>
        <w:rPr>
          <w:rFonts w:ascii="Times New Roman" w:hAnsi="Times New Roman" w:eastAsia="宋体"/>
          <w:color w:val="000000" w:themeColor="text1"/>
          <w:sz w:val="32"/>
          <w:szCs w:val="32"/>
          <w14:textFill>
            <w14:solidFill>
              <w14:schemeClr w14:val="tx1"/>
            </w14:solidFill>
          </w14:textFill>
        </w:rPr>
        <w:t>项目需求</w:t>
      </w:r>
    </w:p>
    <w:p w14:paraId="753CCA57">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w:t>
      </w:r>
      <w:r>
        <w:rPr>
          <w:rFonts w:hint="eastAsia" w:ascii="Times New Roman" w:hAnsi="Times New Roman" w:eastAsia="宋体"/>
          <w:color w:val="000000" w:themeColor="text1"/>
          <w:sz w:val="32"/>
          <w:szCs w:val="32"/>
          <w14:textFill>
            <w14:solidFill>
              <w14:schemeClr w14:val="tx1"/>
            </w14:solidFill>
          </w14:textFill>
        </w:rPr>
        <w:t>四</w:t>
      </w:r>
      <w:r>
        <w:rPr>
          <w:rFonts w:ascii="Times New Roman" w:hAnsi="Times New Roman" w:eastAsia="宋体"/>
          <w:color w:val="000000" w:themeColor="text1"/>
          <w:sz w:val="32"/>
          <w:szCs w:val="32"/>
          <w14:textFill>
            <w14:solidFill>
              <w14:schemeClr w14:val="tx1"/>
            </w14:solidFill>
          </w14:textFill>
        </w:rPr>
        <w:t>章</w:t>
      </w:r>
      <w:r>
        <w:rPr>
          <w:rFonts w:hint="eastAsia" w:ascii="Times New Roman" w:hAnsi="Times New Roman" w:eastAsia="宋体"/>
          <w:color w:val="000000" w:themeColor="text1"/>
          <w:sz w:val="32"/>
          <w:szCs w:val="32"/>
          <w14:textFill>
            <w14:solidFill>
              <w14:schemeClr w14:val="tx1"/>
            </w14:solidFill>
          </w14:textFill>
        </w:rPr>
        <w:t xml:space="preserve"> 评审方法和程序</w:t>
      </w:r>
    </w:p>
    <w:p w14:paraId="382B6045">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w:t>
      </w:r>
      <w:r>
        <w:rPr>
          <w:rFonts w:hint="eastAsia" w:ascii="Times New Roman" w:hAnsi="Times New Roman" w:eastAsia="宋体"/>
          <w:color w:val="000000" w:themeColor="text1"/>
          <w:sz w:val="32"/>
          <w:szCs w:val="32"/>
          <w14:textFill>
            <w14:solidFill>
              <w14:schemeClr w14:val="tx1"/>
            </w14:solidFill>
          </w14:textFill>
        </w:rPr>
        <w:t>五</w:t>
      </w:r>
      <w:r>
        <w:rPr>
          <w:rFonts w:ascii="Times New Roman" w:hAnsi="Times New Roman" w:eastAsia="宋体"/>
          <w:color w:val="000000" w:themeColor="text1"/>
          <w:sz w:val="32"/>
          <w:szCs w:val="32"/>
          <w14:textFill>
            <w14:solidFill>
              <w14:schemeClr w14:val="tx1"/>
            </w14:solidFill>
          </w14:textFill>
        </w:rPr>
        <w:t>章</w:t>
      </w:r>
      <w:r>
        <w:rPr>
          <w:rFonts w:hint="eastAsia" w:ascii="Times New Roman" w:hAnsi="Times New Roman" w:eastAsia="宋体"/>
          <w:color w:val="000000" w:themeColor="text1"/>
          <w:sz w:val="32"/>
          <w:szCs w:val="32"/>
          <w14:textFill>
            <w14:solidFill>
              <w14:schemeClr w14:val="tx1"/>
            </w14:solidFill>
          </w14:textFill>
        </w:rPr>
        <w:t xml:space="preserve"> 合同主要条款</w:t>
      </w:r>
    </w:p>
    <w:p w14:paraId="731909DC">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hint="eastAsia" w:ascii="Times New Roman" w:hAnsi="Times New Roman" w:eastAsia="宋体"/>
          <w:color w:val="000000" w:themeColor="text1"/>
          <w:sz w:val="32"/>
          <w:szCs w:val="32"/>
          <w14:textFill>
            <w14:solidFill>
              <w14:schemeClr w14:val="tx1"/>
            </w14:solidFill>
          </w14:textFill>
        </w:rPr>
        <w:t>第六章 合同授予</w:t>
      </w:r>
    </w:p>
    <w:p w14:paraId="229C321D">
      <w:pPr>
        <w:spacing w:line="1200" w:lineRule="exact"/>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第七章</w:t>
      </w:r>
      <w:r>
        <w:rPr>
          <w:rFonts w:hint="eastAsia" w:ascii="Times New Roman" w:hAnsi="Times New Roman"/>
          <w:color w:val="000000" w:themeColor="text1"/>
          <w:sz w:val="32"/>
          <w:szCs w:val="32"/>
          <w14:textFill>
            <w14:solidFill>
              <w14:schemeClr w14:val="tx1"/>
            </w14:solidFill>
          </w14:textFill>
        </w:rPr>
        <w:t xml:space="preserve"> 质疑提出和处理</w:t>
      </w:r>
    </w:p>
    <w:p w14:paraId="5D3B394E">
      <w:pPr>
        <w:spacing w:line="1200" w:lineRule="exact"/>
        <w:rPr>
          <w:rFonts w:ascii="Times New Roman" w:hAnsi="Times New Roman"/>
          <w:color w:val="000000" w:themeColor="text1"/>
          <w:sz w:val="36"/>
          <w:szCs w:val="36"/>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第八章</w:t>
      </w:r>
      <w:r>
        <w:rPr>
          <w:rFonts w:hint="eastAsia" w:ascii="Times New Roman" w:hAnsi="Times New Roman"/>
          <w:color w:val="000000" w:themeColor="text1"/>
          <w:sz w:val="32"/>
          <w:szCs w:val="32"/>
          <w14:textFill>
            <w14:solidFill>
              <w14:schemeClr w14:val="tx1"/>
            </w14:solidFill>
          </w14:textFill>
        </w:rPr>
        <w:t xml:space="preserve"> 响应文件组成及格式</w:t>
      </w:r>
    </w:p>
    <w:p w14:paraId="44125D12">
      <w:pPr>
        <w:rPr>
          <w:rFonts w:ascii="Times New Roman" w:hAnsi="Times New Roman" w:cs="宋体"/>
          <w:b/>
          <w:color w:val="000000" w:themeColor="text1"/>
          <w:sz w:val="24"/>
          <w:szCs w:val="24"/>
          <w14:textFill>
            <w14:solidFill>
              <w14:schemeClr w14:val="tx1"/>
            </w14:solidFill>
          </w14:textFill>
        </w:rPr>
      </w:pPr>
      <w:r>
        <w:rPr>
          <w:rFonts w:ascii="Times New Roman" w:hAnsi="Times New Roman"/>
          <w:b/>
          <w:bCs/>
          <w:color w:val="000000" w:themeColor="text1"/>
          <w:sz w:val="36"/>
          <w:szCs w:val="36"/>
          <w14:textFill>
            <w14:solidFill>
              <w14:schemeClr w14:val="tx1"/>
            </w14:solidFill>
          </w14:textFill>
        </w:rPr>
        <w:fldChar w:fldCharType="end"/>
      </w:r>
    </w:p>
    <w:p w14:paraId="0F895F6C">
      <w:pPr>
        <w:pStyle w:val="221"/>
        <w:rPr>
          <w:rFonts w:ascii="Times New Roman" w:hAnsi="Times New Roman"/>
          <w:color w:val="000000" w:themeColor="text1"/>
          <w14:textFill>
            <w14:solidFill>
              <w14:schemeClr w14:val="tx1"/>
            </w14:solidFill>
          </w14:textFill>
        </w:rPr>
      </w:pPr>
    </w:p>
    <w:p w14:paraId="241E6A95">
      <w:pPr>
        <w:rPr>
          <w:rFonts w:ascii="Times New Roman" w:hAnsi="Times New Roman" w:cs="宋体"/>
          <w:b/>
          <w:color w:val="000000" w:themeColor="text1"/>
          <w:sz w:val="24"/>
          <w:szCs w:val="24"/>
          <w14:textFill>
            <w14:solidFill>
              <w14:schemeClr w14:val="tx1"/>
            </w14:solidFill>
          </w14:textFill>
        </w:rPr>
      </w:pPr>
    </w:p>
    <w:p w14:paraId="3DEBA062">
      <w:pPr>
        <w:pStyle w:val="2"/>
        <w:keepNext w:val="0"/>
        <w:keepLines w:val="0"/>
        <w:spacing w:before="0" w:after="0" w:line="360" w:lineRule="auto"/>
        <w:jc w:val="center"/>
        <w:rPr>
          <w:rFonts w:ascii="Times New Roman" w:hAnsi="Times New Roman" w:eastAsia="宋体"/>
          <w:color w:val="000000" w:themeColor="text1"/>
          <w:sz w:val="48"/>
          <w:szCs w:val="44"/>
          <w14:textFill>
            <w14:solidFill>
              <w14:schemeClr w14:val="tx1"/>
            </w14:solidFill>
          </w14:textFill>
        </w:rPr>
      </w:pPr>
      <w:r>
        <w:rPr>
          <w:rFonts w:ascii="Times New Roman" w:hAnsi="Times New Roman" w:eastAsia="宋体"/>
          <w:color w:val="000000" w:themeColor="text1"/>
          <w:sz w:val="48"/>
          <w:szCs w:val="44"/>
          <w14:textFill>
            <w14:solidFill>
              <w14:schemeClr w14:val="tx1"/>
            </w14:solidFill>
          </w14:textFill>
        </w:rPr>
        <w:br w:type="page" w:clear="all"/>
      </w:r>
      <w:r>
        <w:rPr>
          <w:rFonts w:hint="eastAsia" w:ascii="Times New Roman" w:hAnsi="Times New Roman" w:eastAsia="宋体"/>
          <w:color w:val="000000" w:themeColor="text1"/>
          <w:sz w:val="48"/>
          <w:szCs w:val="44"/>
          <w14:textFill>
            <w14:solidFill>
              <w14:schemeClr w14:val="tx1"/>
            </w14:solidFill>
          </w14:textFill>
        </w:rPr>
        <w:t>第一章 竞争性磋商公告</w:t>
      </w:r>
    </w:p>
    <w:p w14:paraId="62A2181B">
      <w:pPr>
        <w:pBdr>
          <w:top w:val="single" w:color="000000" w:sz="4" w:space="1"/>
          <w:left w:val="single" w:color="000000" w:sz="4" w:space="4"/>
          <w:bottom w:val="single" w:color="000000" w:sz="4" w:space="1"/>
          <w:right w:val="single" w:color="000000" w:sz="4" w:space="4"/>
        </w:pBdr>
        <w:spacing w:line="360" w:lineRule="auto"/>
        <w:ind w:firstLine="482"/>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项目概况</w:t>
      </w:r>
    </w:p>
    <w:p w14:paraId="7D9DC555">
      <w:pPr>
        <w:pBdr>
          <w:top w:val="single" w:color="000000" w:sz="4" w:space="1"/>
          <w:left w:val="single" w:color="000000" w:sz="4" w:space="4"/>
          <w:bottom w:val="single" w:color="000000" w:sz="4" w:space="1"/>
          <w:right w:val="single" w:color="000000" w:sz="4" w:space="4"/>
        </w:pBdr>
        <w:spacing w:line="360" w:lineRule="auto"/>
        <w:ind w:firstLine="482"/>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u w:val="single"/>
          <w14:textFill>
            <w14:solidFill>
              <w14:schemeClr w14:val="tx1"/>
            </w14:solidFill>
          </w14:textFill>
        </w:rPr>
        <w:t>中通服网盈科技有限公司</w:t>
      </w:r>
      <w:r>
        <w:rPr>
          <w:rFonts w:hint="eastAsia" w:ascii="Times New Roman" w:hAnsi="Times New Roman"/>
          <w:color w:val="000000" w:themeColor="text1"/>
          <w:sz w:val="24"/>
          <w14:textFill>
            <w14:solidFill>
              <w14:schemeClr w14:val="tx1"/>
            </w14:solidFill>
          </w14:textFill>
        </w:rPr>
        <w:t>（以下称代理机构）受</w:t>
      </w:r>
      <w:r>
        <w:rPr>
          <w:rFonts w:hint="eastAsia" w:ascii="Times New Roman" w:hAnsi="Times New Roman"/>
          <w:color w:val="000000" w:themeColor="text1"/>
          <w:sz w:val="24"/>
          <w:u w:val="single"/>
          <w14:textFill>
            <w14:solidFill>
              <w14:schemeClr w14:val="tx1"/>
            </w14:solidFill>
          </w14:textFill>
        </w:rPr>
        <w:t>南通市生态环境局</w:t>
      </w:r>
      <w:r>
        <w:rPr>
          <w:rFonts w:hint="eastAsia" w:ascii="Times New Roman" w:hAnsi="Times New Roman"/>
          <w:color w:val="000000" w:themeColor="text1"/>
          <w:sz w:val="24"/>
          <w14:textFill>
            <w14:solidFill>
              <w14:schemeClr w14:val="tx1"/>
            </w14:solidFill>
          </w14:textFill>
        </w:rPr>
        <w:t>（以下称采购人）的委托，就</w:t>
      </w:r>
      <w:r>
        <w:rPr>
          <w:rFonts w:hint="eastAsia" w:ascii="Times New Roman" w:hAnsi="Times New Roman"/>
          <w:color w:val="000000" w:themeColor="text1"/>
          <w:sz w:val="24"/>
          <w:u w:val="single"/>
          <w14:textFill>
            <w14:solidFill>
              <w14:schemeClr w14:val="tx1"/>
            </w14:solidFill>
          </w14:textFill>
        </w:rPr>
        <w:t>南通市近岸海域水质调查与治理评估项目</w:t>
      </w:r>
      <w:r>
        <w:rPr>
          <w:rFonts w:hint="eastAsia" w:ascii="Times New Roman" w:hAnsi="Times New Roman"/>
          <w:color w:val="000000" w:themeColor="text1"/>
          <w:sz w:val="24"/>
          <w14:textFill>
            <w14:solidFill>
              <w14:schemeClr w14:val="tx1"/>
            </w14:solidFill>
          </w14:textFill>
        </w:rPr>
        <w:t>组织公开竞争性磋商，诚邀符合条件的潜在供应商在“南通市生态环境局官网”获取采购文件，并</w:t>
      </w:r>
      <w:r>
        <w:rPr>
          <w:rFonts w:hint="eastAsia" w:ascii="Times New Roman" w:hAnsi="Times New Roman"/>
          <w:color w:val="000000" w:themeColor="text1"/>
          <w:sz w:val="24"/>
          <w:highlight w:val="none"/>
          <w14:textFill>
            <w14:solidFill>
              <w14:schemeClr w14:val="tx1"/>
            </w14:solidFill>
          </w14:textFill>
        </w:rPr>
        <w:t xml:space="preserve">于 </w:t>
      </w:r>
      <w:r>
        <w:rPr>
          <w:rFonts w:hint="eastAsia" w:ascii="Times New Roman" w:hAnsi="Times New Roman"/>
          <w:color w:val="000000" w:themeColor="text1"/>
          <w:sz w:val="24"/>
          <w:highlight w:val="none"/>
          <w:u w:val="single"/>
          <w14:textFill>
            <w14:solidFill>
              <w14:schemeClr w14:val="tx1"/>
            </w14:solidFill>
          </w14:textFill>
        </w:rPr>
        <w:t>2026</w:t>
      </w:r>
      <w:r>
        <w:rPr>
          <w:rFonts w:hint="eastAsia" w:ascii="Times New Roman" w:hAnsi="Times New Roman"/>
          <w:color w:val="000000" w:themeColor="text1"/>
          <w:sz w:val="24"/>
          <w:highlight w:val="none"/>
          <w14:textFill>
            <w14:solidFill>
              <w14:schemeClr w14:val="tx1"/>
            </w14:solidFill>
          </w14:textFill>
        </w:rPr>
        <w:t>年</w:t>
      </w:r>
      <w:r>
        <w:rPr>
          <w:rFonts w:hint="eastAsia" w:ascii="Times New Roman" w:hAnsi="Times New Roman"/>
          <w:color w:val="000000" w:themeColor="text1"/>
          <w:sz w:val="24"/>
          <w:highlight w:val="none"/>
          <w:u w:val="single"/>
          <w14:textFill>
            <w14:solidFill>
              <w14:schemeClr w14:val="tx1"/>
            </w14:solidFill>
          </w14:textFill>
        </w:rPr>
        <w:t>02</w:t>
      </w:r>
      <w:r>
        <w:rPr>
          <w:rFonts w:hint="eastAsia" w:ascii="Times New Roman" w:hAnsi="Times New Roman"/>
          <w:color w:val="000000" w:themeColor="text1"/>
          <w:sz w:val="24"/>
          <w:highlight w:val="none"/>
          <w14:textFill>
            <w14:solidFill>
              <w14:schemeClr w14:val="tx1"/>
            </w14:solidFill>
          </w14:textFill>
        </w:rPr>
        <w:t>月</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val="en-US" w:eastAsia="zh-CN"/>
          <w14:textFill>
            <w14:solidFill>
              <w14:schemeClr w14:val="tx1"/>
            </w14:solidFill>
          </w14:textFill>
        </w:rPr>
        <w:t>13</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14:textFill>
            <w14:solidFill>
              <w14:schemeClr w14:val="tx1"/>
            </w14:solidFill>
          </w14:textFill>
        </w:rPr>
        <w:t>日</w:t>
      </w:r>
      <w:r>
        <w:rPr>
          <w:rFonts w:hint="eastAsia" w:ascii="Times New Roman" w:hAnsi="Times New Roman"/>
          <w:color w:val="000000" w:themeColor="text1"/>
          <w:sz w:val="24"/>
          <w:highlight w:val="none"/>
          <w:u w:val="single"/>
          <w:lang w:val="en-US" w:eastAsia="zh-CN"/>
          <w14:textFill>
            <w14:solidFill>
              <w14:schemeClr w14:val="tx1"/>
            </w14:solidFill>
          </w14:textFill>
        </w:rPr>
        <w:t>14</w:t>
      </w:r>
      <w:r>
        <w:rPr>
          <w:rFonts w:hint="eastAsia" w:ascii="Times New Roman" w:hAnsi="Times New Roman"/>
          <w:color w:val="000000" w:themeColor="text1"/>
          <w:sz w:val="24"/>
          <w:highlight w:val="none"/>
          <w14:textFill>
            <w14:solidFill>
              <w14:schemeClr w14:val="tx1"/>
            </w14:solidFill>
          </w14:textFill>
        </w:rPr>
        <w:t>时</w:t>
      </w:r>
      <w:r>
        <w:rPr>
          <w:rFonts w:hint="eastAsia" w:ascii="Times New Roman" w:hAnsi="Times New Roman"/>
          <w:color w:val="000000" w:themeColor="text1"/>
          <w:sz w:val="24"/>
          <w:highlight w:val="none"/>
          <w:u w:val="single"/>
          <w:lang w:val="en-US" w:eastAsia="zh-CN"/>
          <w14:textFill>
            <w14:solidFill>
              <w14:schemeClr w14:val="tx1"/>
            </w14:solidFill>
          </w14:textFill>
        </w:rPr>
        <w:t>0</w:t>
      </w:r>
      <w:r>
        <w:rPr>
          <w:rFonts w:hint="eastAsia" w:ascii="Times New Roman" w:hAnsi="Times New Roman"/>
          <w:color w:val="000000" w:themeColor="text1"/>
          <w:sz w:val="24"/>
          <w:highlight w:val="none"/>
          <w:u w:val="single"/>
          <w14:textFill>
            <w14:solidFill>
              <w14:schemeClr w14:val="tx1"/>
            </w14:solidFill>
          </w14:textFill>
        </w:rPr>
        <w:t>0</w:t>
      </w:r>
      <w:r>
        <w:rPr>
          <w:rFonts w:hint="eastAsia" w:ascii="Times New Roman" w:hAnsi="Times New Roman"/>
          <w:color w:val="000000" w:themeColor="text1"/>
          <w:sz w:val="24"/>
          <w:highlight w:val="none"/>
          <w14:textFill>
            <w14:solidFill>
              <w14:schemeClr w14:val="tx1"/>
            </w14:solidFill>
          </w14:textFill>
        </w:rPr>
        <w:t>分</w:t>
      </w:r>
      <w:r>
        <w:rPr>
          <w:rFonts w:hint="eastAsia" w:ascii="Times New Roman" w:hAnsi="Times New Roman"/>
          <w:color w:val="000000" w:themeColor="text1"/>
          <w:sz w:val="24"/>
          <w14:textFill>
            <w14:solidFill>
              <w14:schemeClr w14:val="tx1"/>
            </w14:solidFill>
          </w14:textFill>
        </w:rPr>
        <w:t>（北京时间）前递交响应文件。</w:t>
      </w:r>
    </w:p>
    <w:p w14:paraId="39C25A85">
      <w:pPr>
        <w:numPr>
          <w:ilvl w:val="0"/>
          <w:numId w:val="1"/>
        </w:numPr>
        <w:spacing w:line="360" w:lineRule="auto"/>
        <w:ind w:firstLine="482"/>
        <w:rPr>
          <w:rFonts w:ascii="Times New Roman" w:hAnsi="Times New Roman"/>
          <w:b/>
          <w:sz w:val="24"/>
          <w:szCs w:val="24"/>
        </w:rPr>
      </w:pPr>
      <w:r>
        <w:rPr>
          <w:rFonts w:hint="eastAsia" w:ascii="Times New Roman" w:hAnsi="Times New Roman"/>
          <w:b/>
          <w:sz w:val="24"/>
          <w:szCs w:val="24"/>
        </w:rPr>
        <w:t>项目基本情况</w:t>
      </w:r>
    </w:p>
    <w:p w14:paraId="0E516763">
      <w:pPr>
        <w:spacing w:line="360" w:lineRule="auto"/>
        <w:ind w:firstLine="480"/>
        <w:rPr>
          <w:rFonts w:hint="eastAsia" w:ascii="宋体" w:hAnsi="宋体" w:cs="宋体"/>
          <w:sz w:val="24"/>
        </w:rPr>
      </w:pPr>
      <w:r>
        <w:rPr>
          <w:rFonts w:hint="eastAsia" w:ascii="Times New Roman" w:hAnsi="Times New Roman"/>
          <w:bCs/>
          <w:sz w:val="24"/>
          <w:szCs w:val="24"/>
        </w:rPr>
        <w:t>1.</w:t>
      </w:r>
      <w:r>
        <w:rPr>
          <w:rFonts w:hint="eastAsia" w:ascii="宋体" w:hAnsi="宋体" w:cs="宋体"/>
          <w:sz w:val="24"/>
        </w:rPr>
        <w:t>项目编号：WY-20260128-010</w:t>
      </w:r>
    </w:p>
    <w:p w14:paraId="50207D6B">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2.项目名称：南通市近岸海域水质调查与治理评估项目</w:t>
      </w:r>
    </w:p>
    <w:p w14:paraId="09784C50">
      <w:pPr>
        <w:spacing w:line="360" w:lineRule="auto"/>
        <w:ind w:firstLine="480"/>
        <w:rPr>
          <w:rFonts w:ascii="Times New Roman" w:hAnsi="Times New Roman"/>
          <w:sz w:val="24"/>
          <w:szCs w:val="24"/>
        </w:rPr>
      </w:pPr>
      <w:r>
        <w:rPr>
          <w:rFonts w:hint="eastAsia" w:ascii="Times New Roman" w:hAnsi="Times New Roman"/>
          <w:sz w:val="24"/>
          <w:szCs w:val="24"/>
        </w:rPr>
        <w:t>3.项目类型：服务</w:t>
      </w:r>
    </w:p>
    <w:p w14:paraId="671455C1">
      <w:pPr>
        <w:spacing w:line="360" w:lineRule="auto"/>
        <w:ind w:firstLine="480"/>
        <w:rPr>
          <w:rFonts w:ascii="Times New Roman" w:hAnsi="Times New Roman"/>
          <w:sz w:val="24"/>
          <w:szCs w:val="24"/>
        </w:rPr>
      </w:pPr>
      <w:r>
        <w:rPr>
          <w:rFonts w:hint="eastAsia" w:ascii="Times New Roman" w:hAnsi="Times New Roman"/>
          <w:sz w:val="24"/>
          <w:szCs w:val="24"/>
        </w:rPr>
        <w:t>4.所属行业：其他未列明行业</w:t>
      </w:r>
    </w:p>
    <w:p w14:paraId="122AABE7">
      <w:pPr>
        <w:spacing w:line="360" w:lineRule="auto"/>
        <w:ind w:firstLine="480"/>
        <w:rPr>
          <w:rFonts w:ascii="Times New Roman" w:hAnsi="Times New Roman"/>
          <w:bCs/>
          <w:sz w:val="24"/>
          <w:szCs w:val="24"/>
        </w:rPr>
      </w:pPr>
      <w:r>
        <w:rPr>
          <w:rFonts w:hint="eastAsia" w:ascii="Times New Roman" w:hAnsi="Times New Roman"/>
          <w:bCs/>
          <w:sz w:val="24"/>
          <w:szCs w:val="24"/>
        </w:rPr>
        <w:t>5.采购方式：</w:t>
      </w:r>
      <w:r>
        <w:rPr>
          <w:rFonts w:hint="eastAsia" w:ascii="Times New Roman" w:hAnsi="Times New Roman"/>
          <w:sz w:val="24"/>
        </w:rPr>
        <w:t>竞争性磋商</w:t>
      </w:r>
    </w:p>
    <w:p w14:paraId="0A1167C8">
      <w:pPr>
        <w:spacing w:line="360" w:lineRule="auto"/>
        <w:ind w:firstLine="480"/>
        <w:rPr>
          <w:rFonts w:ascii="Times New Roman" w:hAnsi="Times New Roman"/>
          <w:bCs/>
          <w:sz w:val="24"/>
          <w:szCs w:val="24"/>
        </w:rPr>
      </w:pPr>
      <w:r>
        <w:rPr>
          <w:rFonts w:hint="eastAsia" w:ascii="Times New Roman" w:hAnsi="Times New Roman"/>
          <w:bCs/>
          <w:sz w:val="24"/>
          <w:szCs w:val="24"/>
        </w:rPr>
        <w:t>6.预算金额：人民币60万元</w:t>
      </w:r>
    </w:p>
    <w:p w14:paraId="58C7133C">
      <w:pPr>
        <w:spacing w:line="360" w:lineRule="auto"/>
        <w:ind w:firstLine="482" w:firstLineChars="200"/>
        <w:rPr>
          <w:rFonts w:ascii="Times New Roman" w:hAnsi="Times New Roman"/>
          <w:b/>
          <w:sz w:val="24"/>
          <w:szCs w:val="24"/>
        </w:rPr>
      </w:pPr>
      <w:r>
        <w:rPr>
          <w:rFonts w:hint="eastAsia" w:ascii="Times New Roman" w:hAnsi="Times New Roman"/>
          <w:b/>
          <w:sz w:val="24"/>
          <w:szCs w:val="24"/>
        </w:rPr>
        <w:t>7.最高限价：人民币60万元，响应报价超过最高限价的为无效响应文件。</w:t>
      </w:r>
    </w:p>
    <w:p w14:paraId="6839CBBF">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8.采购需求：具体内容详见采购文件第三章项目需求。</w:t>
      </w:r>
    </w:p>
    <w:p w14:paraId="0C4A4E42">
      <w:pPr>
        <w:spacing w:line="360" w:lineRule="auto"/>
        <w:ind w:firstLine="480" w:firstLineChars="200"/>
        <w:rPr>
          <w:rFonts w:ascii="Times New Roman" w:hAnsi="Times New Roman" w:cs="宋体"/>
          <w:sz w:val="24"/>
          <w:szCs w:val="24"/>
        </w:rPr>
      </w:pPr>
      <w:r>
        <w:rPr>
          <w:rFonts w:hint="eastAsia" w:ascii="Times New Roman" w:hAnsi="Times New Roman"/>
          <w:bCs/>
          <w:sz w:val="24"/>
          <w:szCs w:val="24"/>
        </w:rPr>
        <w:t>9.</w:t>
      </w:r>
      <w:r>
        <w:rPr>
          <w:rFonts w:hint="eastAsia"/>
          <w:sz w:val="24"/>
        </w:rPr>
        <w:t>服务期限：自本合同签订之日起算，至2026年12月。</w:t>
      </w:r>
    </w:p>
    <w:p w14:paraId="19A8F4B9">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10.本项目（是/否）接受联合体：否。</w:t>
      </w:r>
    </w:p>
    <w:p w14:paraId="01C12046">
      <w:pPr>
        <w:spacing w:line="360" w:lineRule="auto"/>
        <w:ind w:firstLine="482"/>
        <w:rPr>
          <w:rFonts w:ascii="Times New Roman" w:hAnsi="Times New Roman"/>
          <w:b/>
          <w:sz w:val="24"/>
          <w:szCs w:val="24"/>
        </w:rPr>
      </w:pPr>
      <w:r>
        <w:rPr>
          <w:rFonts w:hint="eastAsia" w:ascii="Times New Roman" w:hAnsi="Times New Roman"/>
          <w:b/>
          <w:sz w:val="24"/>
          <w:szCs w:val="24"/>
        </w:rPr>
        <w:t>二、申请人的资格要求：</w:t>
      </w:r>
    </w:p>
    <w:p w14:paraId="68FFC058">
      <w:pPr>
        <w:spacing w:line="360" w:lineRule="auto"/>
        <w:ind w:firstLine="480"/>
        <w:rPr>
          <w:rFonts w:hint="eastAsia" w:ascii="宋体" w:hAnsi="宋体" w:cs="宋体"/>
          <w:sz w:val="24"/>
          <w:szCs w:val="24"/>
        </w:rPr>
      </w:pPr>
      <w:r>
        <w:rPr>
          <w:rFonts w:hint="eastAsia" w:ascii="宋体" w:hAnsi="宋体" w:cs="宋体"/>
          <w:sz w:val="24"/>
          <w:szCs w:val="24"/>
        </w:rPr>
        <w:t>1.满足《中华人民共和国政府采购法》第二十二条规定，并提供声明函：</w:t>
      </w:r>
    </w:p>
    <w:p w14:paraId="3682E28A">
      <w:pPr>
        <w:spacing w:line="360" w:lineRule="auto"/>
        <w:ind w:firstLine="480"/>
        <w:rPr>
          <w:rFonts w:hint="eastAsia" w:ascii="宋体" w:hAnsi="宋体" w:cs="宋体"/>
          <w:sz w:val="24"/>
          <w:szCs w:val="24"/>
        </w:rPr>
      </w:pPr>
      <w:r>
        <w:rPr>
          <w:rFonts w:hint="eastAsia" w:ascii="宋体" w:hAnsi="宋体" w:cs="宋体"/>
          <w:sz w:val="24"/>
          <w:szCs w:val="24"/>
        </w:rPr>
        <w:t>（1）具有独立承担民事责任的能力；</w:t>
      </w:r>
    </w:p>
    <w:p w14:paraId="56398832">
      <w:pPr>
        <w:spacing w:line="360" w:lineRule="auto"/>
        <w:ind w:firstLine="480"/>
        <w:rPr>
          <w:rFonts w:hint="eastAsia" w:ascii="宋体" w:hAnsi="宋体" w:cs="宋体"/>
          <w:sz w:val="24"/>
          <w:szCs w:val="24"/>
        </w:rPr>
      </w:pPr>
      <w:r>
        <w:rPr>
          <w:rFonts w:hint="eastAsia" w:ascii="宋体" w:hAnsi="宋体" w:cs="宋体"/>
          <w:sz w:val="24"/>
          <w:szCs w:val="24"/>
        </w:rPr>
        <w:t>（2）具有良好的商业信誉和健全的财务会计制度；</w:t>
      </w:r>
    </w:p>
    <w:p w14:paraId="782ACB9D">
      <w:pPr>
        <w:spacing w:line="360" w:lineRule="auto"/>
        <w:ind w:firstLine="480"/>
        <w:rPr>
          <w:rFonts w:hint="eastAsia" w:ascii="宋体" w:hAnsi="宋体" w:cs="宋体"/>
          <w:sz w:val="24"/>
          <w:szCs w:val="24"/>
        </w:rPr>
      </w:pPr>
      <w:r>
        <w:rPr>
          <w:rFonts w:hint="eastAsia" w:ascii="宋体" w:hAnsi="宋体" w:cs="宋体"/>
          <w:sz w:val="24"/>
          <w:szCs w:val="24"/>
        </w:rPr>
        <w:t>（3）具有履行合同所必需的设备和专业技术能力；</w:t>
      </w:r>
    </w:p>
    <w:p w14:paraId="1CD243FE">
      <w:pPr>
        <w:spacing w:line="360" w:lineRule="auto"/>
        <w:ind w:firstLine="480"/>
        <w:rPr>
          <w:rFonts w:hint="eastAsia" w:ascii="宋体" w:hAnsi="宋体" w:cs="宋体"/>
          <w:sz w:val="24"/>
          <w:szCs w:val="24"/>
        </w:rPr>
      </w:pPr>
      <w:r>
        <w:rPr>
          <w:rFonts w:hint="eastAsia" w:ascii="宋体" w:hAnsi="宋体" w:cs="宋体"/>
          <w:sz w:val="24"/>
          <w:szCs w:val="24"/>
        </w:rPr>
        <w:t>（4）有依法缴纳税收和社会保障资金的良好记录；</w:t>
      </w:r>
    </w:p>
    <w:p w14:paraId="498727C9">
      <w:pPr>
        <w:spacing w:line="360" w:lineRule="auto"/>
        <w:ind w:firstLine="48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10E32EB">
      <w:pPr>
        <w:spacing w:line="360" w:lineRule="auto"/>
        <w:ind w:firstLine="480"/>
        <w:rPr>
          <w:rFonts w:hint="eastAsia" w:ascii="宋体" w:hAnsi="宋体" w:cs="宋体"/>
          <w:sz w:val="24"/>
          <w:szCs w:val="24"/>
        </w:rPr>
      </w:pPr>
      <w:r>
        <w:rPr>
          <w:rFonts w:hint="eastAsia" w:ascii="宋体" w:hAnsi="宋体" w:cs="宋体"/>
          <w:sz w:val="24"/>
          <w:szCs w:val="24"/>
        </w:rPr>
        <w:t>（6）法律、行政法规规定的其他条件。</w:t>
      </w:r>
    </w:p>
    <w:p w14:paraId="78C44699">
      <w:pPr>
        <w:adjustRightInd w:val="0"/>
        <w:snapToGrid w:val="0"/>
        <w:spacing w:line="360" w:lineRule="auto"/>
        <w:ind w:firstLine="480" w:firstLineChars="200"/>
        <w:rPr>
          <w:rFonts w:hint="eastAsia" w:ascii="宋体" w:hAnsi="宋体"/>
          <w:b/>
          <w:bCs/>
          <w:kern w:val="2"/>
          <w:sz w:val="24"/>
          <w:szCs w:val="24"/>
          <w:u w:val="single"/>
        </w:rPr>
      </w:pPr>
      <w:r>
        <w:rPr>
          <w:rFonts w:ascii="宋体" w:hAnsi="宋体"/>
          <w:kern w:val="2"/>
          <w:sz w:val="24"/>
          <w:szCs w:val="24"/>
        </w:rPr>
        <w:t>2</w:t>
      </w:r>
      <w:r>
        <w:rPr>
          <w:rFonts w:hint="eastAsia" w:ascii="宋体" w:hAnsi="宋体"/>
          <w:kern w:val="2"/>
          <w:sz w:val="24"/>
          <w:szCs w:val="24"/>
        </w:rPr>
        <w:t>.</w:t>
      </w:r>
      <w:r>
        <w:rPr>
          <w:rFonts w:ascii="宋体" w:hAnsi="宋体"/>
          <w:kern w:val="2"/>
          <w:sz w:val="24"/>
          <w:szCs w:val="24"/>
        </w:rPr>
        <w:t>落实政府采购政策需满足的资格要求：</w:t>
      </w:r>
      <w:r>
        <w:rPr>
          <w:rFonts w:hint="eastAsia" w:ascii="宋体" w:hAnsi="宋体"/>
          <w:b/>
          <w:bCs/>
          <w:kern w:val="2"/>
          <w:sz w:val="24"/>
          <w:szCs w:val="24"/>
          <w:u w:val="single"/>
        </w:rPr>
        <w:t>本项目为专门面向中小企业采购项目。</w:t>
      </w:r>
      <w:r>
        <w:rPr>
          <w:rFonts w:hint="eastAsia" w:ascii="宋体" w:hAnsi="宋体"/>
          <w:kern w:val="2"/>
          <w:sz w:val="24"/>
          <w:szCs w:val="24"/>
          <w:u w:val="single"/>
        </w:rPr>
        <w:t>（须按照财库【2020】46号文要求提供中小企业声明函或残疾人福利性单位声明函或监狱和戒毒企业证明材料，格式见附件）</w:t>
      </w:r>
      <w:r>
        <w:rPr>
          <w:rFonts w:hint="eastAsia" w:ascii="宋体" w:hAnsi="宋体"/>
          <w:kern w:val="2"/>
          <w:sz w:val="24"/>
          <w:szCs w:val="24"/>
        </w:rPr>
        <w:t>。</w:t>
      </w:r>
    </w:p>
    <w:p w14:paraId="3CB6C7CE">
      <w:pPr>
        <w:widowControl/>
        <w:snapToGrid w:val="0"/>
        <w:spacing w:line="336" w:lineRule="auto"/>
        <w:ind w:firstLine="480" w:firstLineChars="200"/>
        <w:jc w:val="left"/>
        <w:rPr>
          <w:rFonts w:hint="eastAsia" w:ascii="宋体" w:hAnsi="宋体"/>
          <w:kern w:val="2"/>
          <w:sz w:val="24"/>
          <w:szCs w:val="24"/>
        </w:rPr>
      </w:pPr>
      <w:bookmarkStart w:id="0" w:name="OLE_LINK11"/>
      <w:r>
        <w:rPr>
          <w:rFonts w:hint="eastAsia" w:ascii="宋体" w:hAnsi="宋体"/>
          <w:kern w:val="2"/>
          <w:sz w:val="24"/>
          <w:szCs w:val="24"/>
        </w:rPr>
        <w:t>3.未被“信用中国”网站（www.creditchina.gov.cn）列入失信被执行人、重大税收违法案件当事人名单；未被中国政府采购网（http://www.ccgp.gov.cn/）列入政府采购严重失信行为记录名单。（响应文件中无需提供证明材料）</w:t>
      </w:r>
    </w:p>
    <w:p w14:paraId="5968A47D">
      <w:pPr>
        <w:widowControl/>
        <w:snapToGrid w:val="0"/>
        <w:spacing w:line="336" w:lineRule="auto"/>
        <w:ind w:firstLine="480" w:firstLineChars="200"/>
        <w:jc w:val="left"/>
        <w:rPr>
          <w:rFonts w:hint="eastAsia" w:ascii="宋体" w:hAnsi="宋体"/>
          <w:kern w:val="2"/>
          <w:sz w:val="24"/>
          <w:szCs w:val="24"/>
        </w:rPr>
      </w:pPr>
      <w:r>
        <w:rPr>
          <w:rFonts w:hint="eastAsia" w:ascii="宋体" w:hAnsi="宋体"/>
          <w:kern w:val="2"/>
          <w:sz w:val="24"/>
          <w:szCs w:val="24"/>
        </w:rPr>
        <w:t>4.供应商须提供诚信承诺书。</w:t>
      </w:r>
    </w:p>
    <w:bookmarkEnd w:id="0"/>
    <w:p w14:paraId="4B1BF237">
      <w:pPr>
        <w:spacing w:line="360" w:lineRule="auto"/>
        <w:ind w:firstLine="480"/>
        <w:rPr>
          <w:rFonts w:hint="eastAsia" w:ascii="宋体" w:hAnsi="宋体" w:cs="宋体"/>
          <w:sz w:val="24"/>
          <w:szCs w:val="24"/>
        </w:rPr>
      </w:pPr>
      <w:r>
        <w:rPr>
          <w:rFonts w:hint="eastAsia" w:ascii="宋体" w:hAnsi="宋体" w:cs="宋体"/>
          <w:sz w:val="24"/>
          <w:szCs w:val="24"/>
        </w:rPr>
        <w:t>5.拒绝下述供应商参加本次采购活动：</w:t>
      </w:r>
    </w:p>
    <w:p w14:paraId="0A2813A8">
      <w:pPr>
        <w:spacing w:line="360" w:lineRule="auto"/>
        <w:ind w:firstLine="480" w:firstLineChars="200"/>
        <w:rPr>
          <w:rFonts w:hint="eastAsia"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供应商单位负责人为同一人或者存在直接控股、管理关系的不同供应商，不得参加同一合同项下的政府采购活动。</w:t>
      </w:r>
    </w:p>
    <w:p w14:paraId="53BA76BC">
      <w:pPr>
        <w:spacing w:line="360" w:lineRule="auto"/>
        <w:ind w:firstLine="482"/>
        <w:rPr>
          <w:rFonts w:ascii="Times New Roman" w:hAnsi="Times New Roman"/>
          <w:b/>
          <w:sz w:val="24"/>
          <w:szCs w:val="24"/>
          <w:lang w:val="zh-CN"/>
        </w:rPr>
      </w:pPr>
      <w:r>
        <w:rPr>
          <w:rFonts w:hint="eastAsia" w:ascii="Times New Roman" w:hAnsi="Times New Roman"/>
          <w:b/>
          <w:sz w:val="24"/>
          <w:szCs w:val="24"/>
          <w:lang w:val="zh-CN"/>
        </w:rPr>
        <w:t>具体资格要求详见第八章中的“资格审查文件”。</w:t>
      </w:r>
    </w:p>
    <w:p w14:paraId="3369E4F6">
      <w:pPr>
        <w:spacing w:line="360" w:lineRule="auto"/>
        <w:ind w:firstLine="482"/>
        <w:rPr>
          <w:rFonts w:ascii="Times New Roman" w:hAnsi="Times New Roman" w:cs="宋体"/>
          <w:bCs/>
          <w:sz w:val="24"/>
          <w:szCs w:val="24"/>
        </w:rPr>
      </w:pPr>
      <w:r>
        <w:rPr>
          <w:rFonts w:hint="eastAsia" w:ascii="Times New Roman" w:hAnsi="Times New Roman" w:cs="宋体"/>
          <w:b/>
          <w:bCs/>
          <w:sz w:val="24"/>
          <w:szCs w:val="24"/>
        </w:rPr>
        <w:t>三、</w:t>
      </w:r>
      <w:r>
        <w:rPr>
          <w:rFonts w:hint="eastAsia" w:ascii="Times New Roman" w:hAnsi="Times New Roman"/>
          <w:b/>
          <w:sz w:val="24"/>
          <w:szCs w:val="24"/>
        </w:rPr>
        <w:t>获取采购文件</w:t>
      </w:r>
    </w:p>
    <w:p w14:paraId="008182F8">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w:t>
      </w:r>
      <w:r>
        <w:rPr>
          <w:rFonts w:ascii="Times New Roman" w:hAnsi="Times New Roman" w:cs="宋体"/>
          <w:bCs/>
          <w:sz w:val="24"/>
          <w:szCs w:val="24"/>
        </w:rPr>
        <w:t>获取时间：</w:t>
      </w:r>
      <w:r>
        <w:rPr>
          <w:rFonts w:ascii="Times New Roman" w:hAnsi="Times New Roman" w:cs="宋体"/>
          <w:bCs/>
          <w:sz w:val="24"/>
          <w:szCs w:val="24"/>
          <w:u w:val="single"/>
        </w:rPr>
        <w:t>自</w:t>
      </w:r>
      <w:r>
        <w:rPr>
          <w:rFonts w:hint="eastAsia" w:ascii="Times New Roman" w:hAnsi="Times New Roman" w:cs="宋体"/>
          <w:bCs/>
          <w:sz w:val="24"/>
          <w:szCs w:val="24"/>
          <w:u w:val="single"/>
        </w:rPr>
        <w:t>本磋商公告</w:t>
      </w:r>
      <w:r>
        <w:rPr>
          <w:rFonts w:ascii="Times New Roman" w:hAnsi="Times New Roman" w:cs="宋体"/>
          <w:bCs/>
          <w:sz w:val="24"/>
          <w:szCs w:val="24"/>
          <w:u w:val="single"/>
        </w:rPr>
        <w:t>发布之日起</w:t>
      </w:r>
      <w:r>
        <w:rPr>
          <w:rFonts w:hint="eastAsia" w:ascii="Times New Roman" w:hAnsi="Times New Roman" w:cs="宋体"/>
          <w:bCs/>
          <w:sz w:val="24"/>
          <w:szCs w:val="24"/>
          <w:u w:val="single"/>
        </w:rPr>
        <w:t>至2026年</w:t>
      </w:r>
      <w:r>
        <w:rPr>
          <w:rFonts w:hint="eastAsia" w:ascii="Times New Roman" w:hAnsi="Times New Roman" w:cs="宋体"/>
          <w:bCs/>
          <w:sz w:val="24"/>
          <w:szCs w:val="24"/>
          <w:u w:val="single"/>
          <w:lang w:val="en-US" w:eastAsia="zh-CN"/>
        </w:rPr>
        <w:t>02</w:t>
      </w:r>
      <w:r>
        <w:rPr>
          <w:rFonts w:hint="eastAsia" w:ascii="Times New Roman" w:hAnsi="Times New Roman" w:cs="宋体"/>
          <w:bCs/>
          <w:sz w:val="24"/>
          <w:szCs w:val="24"/>
          <w:u w:val="single"/>
        </w:rPr>
        <w:t>月</w:t>
      </w:r>
      <w:r>
        <w:rPr>
          <w:rFonts w:hint="eastAsia" w:ascii="Times New Roman" w:hAnsi="Times New Roman" w:cs="宋体"/>
          <w:bCs/>
          <w:sz w:val="24"/>
          <w:szCs w:val="24"/>
          <w:u w:val="single"/>
          <w:lang w:val="en-US" w:eastAsia="zh-CN"/>
        </w:rPr>
        <w:t>09</w:t>
      </w:r>
      <w:r>
        <w:rPr>
          <w:rFonts w:hint="eastAsia" w:ascii="Times New Roman" w:hAnsi="Times New Roman" w:cs="宋体"/>
          <w:bCs/>
          <w:sz w:val="24"/>
          <w:szCs w:val="24"/>
          <w:u w:val="single"/>
        </w:rPr>
        <w:t>日</w:t>
      </w:r>
      <w:r>
        <w:rPr>
          <w:rFonts w:ascii="Times New Roman" w:hAnsi="Times New Roman" w:cs="宋体"/>
          <w:bCs/>
          <w:sz w:val="24"/>
          <w:szCs w:val="24"/>
        </w:rPr>
        <w:t>。</w:t>
      </w:r>
    </w:p>
    <w:p w14:paraId="038A1028">
      <w:pPr>
        <w:spacing w:line="360" w:lineRule="auto"/>
        <w:ind w:firstLine="480"/>
        <w:rPr>
          <w:rFonts w:ascii="Times New Roman" w:hAnsi="Times New Roman"/>
          <w:bCs/>
          <w:sz w:val="24"/>
          <w:szCs w:val="24"/>
        </w:rPr>
      </w:pPr>
      <w:r>
        <w:rPr>
          <w:rFonts w:hint="eastAsia" w:ascii="Times New Roman" w:hAnsi="Times New Roman"/>
          <w:sz w:val="24"/>
          <w:szCs w:val="24"/>
        </w:rPr>
        <w:t>2.地点：</w:t>
      </w:r>
      <w:r>
        <w:rPr>
          <w:rFonts w:hint="eastAsia"/>
          <w:sz w:val="24"/>
        </w:rPr>
        <w:t>南通市生态环境局官网-信息公开-公告公示栏</w:t>
      </w:r>
    </w:p>
    <w:p w14:paraId="629A7A83">
      <w:pPr>
        <w:spacing w:line="360" w:lineRule="auto"/>
        <w:ind w:firstLine="480"/>
        <w:rPr>
          <w:rFonts w:ascii="Times New Roman" w:hAnsi="Times New Roman"/>
          <w:bCs/>
          <w:sz w:val="24"/>
          <w:szCs w:val="24"/>
        </w:rPr>
      </w:pPr>
      <w:r>
        <w:rPr>
          <w:rFonts w:hint="eastAsia" w:ascii="Times New Roman" w:hAnsi="Times New Roman"/>
          <w:sz w:val="24"/>
          <w:szCs w:val="24"/>
        </w:rPr>
        <w:t>3.方式：自行下载</w:t>
      </w:r>
    </w:p>
    <w:p w14:paraId="5B5AF0D4">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四、响应文件提交</w:t>
      </w:r>
    </w:p>
    <w:p w14:paraId="4AD5CB8F">
      <w:pPr>
        <w:spacing w:line="360" w:lineRule="auto"/>
        <w:ind w:firstLine="480"/>
        <w:rPr>
          <w:rFonts w:ascii="Times New Roman" w:hAnsi="Times New Roman"/>
          <w:sz w:val="24"/>
        </w:rPr>
      </w:pPr>
      <w:r>
        <w:rPr>
          <w:rFonts w:hint="eastAsia" w:ascii="Times New Roman" w:hAnsi="Times New Roman" w:cs="宋体"/>
          <w:sz w:val="24"/>
          <w:szCs w:val="24"/>
        </w:rPr>
        <w:t>1.响应文件接收截止时间：2026年</w:t>
      </w:r>
      <w:r>
        <w:rPr>
          <w:rFonts w:hint="eastAsia" w:ascii="Times New Roman" w:hAnsi="Times New Roman" w:cs="宋体"/>
          <w:sz w:val="24"/>
          <w:szCs w:val="24"/>
          <w:lang w:val="en-US" w:eastAsia="zh-CN"/>
        </w:rPr>
        <w:t>02</w:t>
      </w:r>
      <w:r>
        <w:rPr>
          <w:rFonts w:hint="eastAsia" w:ascii="Times New Roman" w:hAnsi="Times New Roman" w:cs="宋体"/>
          <w:sz w:val="24"/>
          <w:szCs w:val="24"/>
        </w:rPr>
        <w:t>月</w:t>
      </w:r>
      <w:r>
        <w:rPr>
          <w:rFonts w:hint="eastAsia" w:ascii="Times New Roman" w:hAnsi="Times New Roman" w:cs="宋体"/>
          <w:sz w:val="24"/>
          <w:szCs w:val="24"/>
          <w:lang w:val="en-US" w:eastAsia="zh-CN"/>
        </w:rPr>
        <w:t>13</w:t>
      </w:r>
      <w:r>
        <w:rPr>
          <w:rFonts w:hint="eastAsia" w:ascii="Times New Roman" w:hAnsi="Times New Roman" w:cs="宋体"/>
          <w:sz w:val="24"/>
          <w:szCs w:val="24"/>
        </w:rPr>
        <w:t>日</w:t>
      </w:r>
      <w:r>
        <w:rPr>
          <w:rFonts w:hint="eastAsia" w:ascii="Times New Roman" w:hAnsi="Times New Roman" w:cs="宋体"/>
          <w:sz w:val="24"/>
          <w:szCs w:val="24"/>
          <w:lang w:val="en-US" w:eastAsia="zh-CN"/>
        </w:rPr>
        <w:t>14</w:t>
      </w:r>
      <w:r>
        <w:rPr>
          <w:rFonts w:hint="eastAsia" w:ascii="Times New Roman" w:hAnsi="Times New Roman" w:cs="宋体"/>
          <w:sz w:val="24"/>
          <w:szCs w:val="24"/>
        </w:rPr>
        <w:t>时</w:t>
      </w:r>
      <w:r>
        <w:rPr>
          <w:rFonts w:hint="eastAsia" w:ascii="Times New Roman" w:hAnsi="Times New Roman" w:cs="宋体"/>
          <w:sz w:val="24"/>
          <w:szCs w:val="24"/>
          <w:lang w:val="en-US" w:eastAsia="zh-CN"/>
        </w:rPr>
        <w:t>0</w:t>
      </w:r>
      <w:r>
        <w:rPr>
          <w:rFonts w:hint="eastAsia" w:ascii="Times New Roman" w:hAnsi="Times New Roman" w:cs="宋体"/>
          <w:sz w:val="24"/>
          <w:szCs w:val="24"/>
        </w:rPr>
        <w:t>0分</w:t>
      </w:r>
      <w:r>
        <w:rPr>
          <w:rFonts w:hint="eastAsia" w:ascii="Times New Roman" w:hAnsi="Times New Roman"/>
          <w:sz w:val="24"/>
        </w:rPr>
        <w:t>（北京时间）。逾时，采购人将拒绝</w:t>
      </w:r>
      <w:r>
        <w:rPr>
          <w:rFonts w:hint="eastAsia" w:ascii="Times New Roman" w:hAnsi="Times New Roman"/>
          <w:sz w:val="24"/>
          <w:lang w:eastAsia="zh-CN"/>
        </w:rPr>
        <w:t>接收</w:t>
      </w:r>
      <w:r>
        <w:rPr>
          <w:rFonts w:hint="eastAsia" w:ascii="Times New Roman" w:hAnsi="Times New Roman"/>
          <w:sz w:val="24"/>
        </w:rPr>
        <w:t>响应文件纸质文档。</w:t>
      </w:r>
    </w:p>
    <w:p w14:paraId="06EEFEED">
      <w:pPr>
        <w:spacing w:line="360" w:lineRule="auto"/>
        <w:ind w:firstLine="480"/>
        <w:rPr>
          <w:rFonts w:ascii="Times New Roman" w:hAnsi="Times New Roman" w:cs="宋体"/>
          <w:sz w:val="24"/>
          <w:szCs w:val="24"/>
        </w:rPr>
      </w:pPr>
      <w:r>
        <w:rPr>
          <w:rFonts w:hint="eastAsia" w:ascii="Times New Roman" w:hAnsi="Times New Roman"/>
          <w:sz w:val="24"/>
        </w:rPr>
        <w:t>2.</w:t>
      </w:r>
      <w:r>
        <w:rPr>
          <w:rFonts w:hint="eastAsia" w:ascii="Times New Roman" w:hAnsi="Times New Roman" w:cs="宋体"/>
          <w:sz w:val="24"/>
          <w:szCs w:val="24"/>
        </w:rPr>
        <w:t>响应文件递交地址：南通市崇川区姚港路52号江景苑G座南楼南通市生态环境局307  会议室，如有变动另行通知</w:t>
      </w:r>
      <w:r>
        <w:rPr>
          <w:rFonts w:hint="eastAsia" w:ascii="Times New Roman" w:hAnsi="Times New Roman"/>
          <w:sz w:val="24"/>
          <w:szCs w:val="24"/>
          <w:shd w:val="clear" w:color="auto" w:fill="FFFFFF"/>
        </w:rPr>
        <w:t>。</w:t>
      </w:r>
    </w:p>
    <w:p w14:paraId="19B672A3">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五、</w:t>
      </w:r>
      <w:r>
        <w:rPr>
          <w:rFonts w:hint="eastAsia" w:ascii="Times New Roman" w:hAnsi="Times New Roman" w:cs="宋体"/>
          <w:b/>
          <w:sz w:val="24"/>
        </w:rPr>
        <w:t>开启</w:t>
      </w:r>
    </w:p>
    <w:p w14:paraId="075894F6">
      <w:pPr>
        <w:spacing w:line="360" w:lineRule="auto"/>
        <w:ind w:firstLine="480"/>
        <w:rPr>
          <w:rFonts w:ascii="Times New Roman" w:hAnsi="Times New Roman" w:cs="宋体"/>
          <w:sz w:val="24"/>
          <w:szCs w:val="24"/>
        </w:rPr>
      </w:pPr>
      <w:r>
        <w:rPr>
          <w:rFonts w:hint="eastAsia" w:ascii="Times New Roman" w:hAnsi="Times New Roman" w:cs="宋体"/>
          <w:sz w:val="24"/>
          <w:szCs w:val="24"/>
        </w:rPr>
        <w:t>时间：2026年</w:t>
      </w:r>
      <w:r>
        <w:rPr>
          <w:rFonts w:hint="eastAsia" w:ascii="Times New Roman" w:hAnsi="Times New Roman" w:cs="宋体"/>
          <w:sz w:val="24"/>
          <w:szCs w:val="24"/>
          <w:lang w:val="en-US" w:eastAsia="zh-CN"/>
        </w:rPr>
        <w:t>02</w:t>
      </w:r>
      <w:r>
        <w:rPr>
          <w:rFonts w:hint="eastAsia" w:ascii="Times New Roman" w:hAnsi="Times New Roman" w:cs="宋体"/>
          <w:sz w:val="24"/>
          <w:szCs w:val="24"/>
        </w:rPr>
        <w:t>月</w:t>
      </w:r>
      <w:r>
        <w:rPr>
          <w:rFonts w:hint="eastAsia" w:ascii="Times New Roman" w:hAnsi="Times New Roman" w:cs="宋体"/>
          <w:sz w:val="24"/>
          <w:szCs w:val="24"/>
          <w:lang w:val="en-US" w:eastAsia="zh-CN"/>
        </w:rPr>
        <w:t>13</w:t>
      </w:r>
      <w:r>
        <w:rPr>
          <w:rFonts w:hint="eastAsia" w:ascii="Times New Roman" w:hAnsi="Times New Roman" w:cs="宋体"/>
          <w:sz w:val="24"/>
          <w:szCs w:val="24"/>
        </w:rPr>
        <w:t>日</w:t>
      </w:r>
      <w:r>
        <w:rPr>
          <w:rFonts w:hint="eastAsia" w:ascii="Times New Roman" w:hAnsi="Times New Roman" w:cs="宋体"/>
          <w:sz w:val="24"/>
          <w:szCs w:val="24"/>
          <w:lang w:val="en-US" w:eastAsia="zh-CN"/>
        </w:rPr>
        <w:t>14</w:t>
      </w:r>
      <w:r>
        <w:rPr>
          <w:rFonts w:hint="eastAsia" w:ascii="Times New Roman" w:hAnsi="Times New Roman" w:cs="宋体"/>
          <w:sz w:val="24"/>
          <w:szCs w:val="24"/>
        </w:rPr>
        <w:t>时</w:t>
      </w:r>
      <w:bookmarkStart w:id="11" w:name="_GoBack"/>
      <w:bookmarkEnd w:id="11"/>
      <w:r>
        <w:rPr>
          <w:rFonts w:hint="eastAsia" w:ascii="Times New Roman" w:hAnsi="Times New Roman" w:cs="宋体"/>
          <w:sz w:val="24"/>
          <w:szCs w:val="24"/>
          <w:lang w:val="en-US" w:eastAsia="zh-CN"/>
        </w:rPr>
        <w:t>00</w:t>
      </w:r>
      <w:r>
        <w:rPr>
          <w:rFonts w:hint="eastAsia" w:ascii="Times New Roman" w:hAnsi="Times New Roman" w:cs="宋体"/>
          <w:sz w:val="24"/>
          <w:szCs w:val="24"/>
        </w:rPr>
        <w:t>分（北京时间）。</w:t>
      </w:r>
    </w:p>
    <w:p w14:paraId="6C574841">
      <w:pPr>
        <w:spacing w:line="360" w:lineRule="auto"/>
        <w:ind w:firstLine="480"/>
        <w:rPr>
          <w:rFonts w:ascii="Times New Roman" w:hAnsi="Times New Roman" w:cs="宋体"/>
          <w:sz w:val="24"/>
          <w:szCs w:val="24"/>
        </w:rPr>
      </w:pPr>
      <w:r>
        <w:rPr>
          <w:rFonts w:hint="eastAsia" w:ascii="Times New Roman" w:hAnsi="Times New Roman" w:cs="宋体"/>
          <w:sz w:val="24"/>
          <w:szCs w:val="24"/>
        </w:rPr>
        <w:t>地点：南通市崇川区姚港路52号江景苑G座南楼南通市生态环境局307会议室，如有变动另行通知</w:t>
      </w:r>
      <w:r>
        <w:rPr>
          <w:rFonts w:hint="eastAsia" w:ascii="Times New Roman" w:hAnsi="Times New Roman"/>
          <w:sz w:val="24"/>
          <w:szCs w:val="24"/>
          <w:shd w:val="clear" w:color="auto" w:fill="FFFFFF"/>
        </w:rPr>
        <w:t>。</w:t>
      </w:r>
    </w:p>
    <w:p w14:paraId="6B7BC9DD">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六、公告期限</w:t>
      </w:r>
    </w:p>
    <w:p w14:paraId="06FC24FD">
      <w:pPr>
        <w:spacing w:line="360" w:lineRule="auto"/>
        <w:ind w:firstLine="480"/>
        <w:rPr>
          <w:rFonts w:ascii="Times New Roman" w:hAnsi="Times New Roman" w:cs="宋体"/>
          <w:sz w:val="24"/>
        </w:rPr>
      </w:pPr>
      <w:r>
        <w:rPr>
          <w:rFonts w:hint="eastAsia" w:ascii="Times New Roman" w:hAnsi="Times New Roman" w:cs="宋体"/>
          <w:sz w:val="24"/>
        </w:rPr>
        <w:t>自本公告发布之日起3个工作日。</w:t>
      </w:r>
    </w:p>
    <w:p w14:paraId="1223C193">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七、其他补充事宜：</w:t>
      </w:r>
    </w:p>
    <w:p w14:paraId="00C5D8B5">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1.本项目不收取磋商保证金，采购文件中涉及磋商保证金的事项，均按免收保证金。</w:t>
      </w:r>
    </w:p>
    <w:p w14:paraId="411742FD">
      <w:pPr>
        <w:spacing w:line="360" w:lineRule="auto"/>
        <w:ind w:firstLine="480"/>
        <w:rPr>
          <w:rFonts w:ascii="Times New Roman" w:hAnsi="Times New Roman"/>
          <w:sz w:val="24"/>
          <w:szCs w:val="24"/>
        </w:rPr>
      </w:pPr>
      <w:r>
        <w:rPr>
          <w:rFonts w:hint="eastAsia" w:ascii="Times New Roman" w:hAnsi="Times New Roman"/>
          <w:sz w:val="24"/>
          <w:szCs w:val="24"/>
        </w:rPr>
        <w:t>2.履约保证金：免收。</w:t>
      </w:r>
    </w:p>
    <w:p w14:paraId="3471B655">
      <w:pPr>
        <w:spacing w:line="360" w:lineRule="auto"/>
        <w:ind w:firstLine="480"/>
        <w:rPr>
          <w:rFonts w:ascii="Times New Roman" w:hAnsi="Times New Roman"/>
          <w:sz w:val="24"/>
          <w:szCs w:val="24"/>
        </w:rPr>
      </w:pPr>
      <w:r>
        <w:rPr>
          <w:rFonts w:hint="eastAsia" w:ascii="Times New Roman" w:hAnsi="Times New Roman"/>
          <w:sz w:val="24"/>
          <w:szCs w:val="24"/>
        </w:rPr>
        <w:t>3.对项目需求部分（供应商其他资格要求、项目需求、评分标准）的询问、质疑请向采购人提出，由采购人负责答复；对项目磋商文件其它部分的询问请向采购人或采购代理提出。</w:t>
      </w:r>
    </w:p>
    <w:p w14:paraId="096CB8B1">
      <w:pPr>
        <w:spacing w:line="360" w:lineRule="auto"/>
        <w:ind w:firstLine="480"/>
        <w:rPr>
          <w:rFonts w:ascii="Times New Roman" w:hAnsi="Times New Roman"/>
          <w:sz w:val="24"/>
          <w:szCs w:val="24"/>
        </w:rPr>
      </w:pPr>
      <w:r>
        <w:rPr>
          <w:rFonts w:hint="eastAsia" w:ascii="Times New Roman" w:hAnsi="Times New Roman"/>
          <w:sz w:val="24"/>
          <w:szCs w:val="24"/>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AF621AA">
      <w:pPr>
        <w:spacing w:line="360" w:lineRule="auto"/>
        <w:ind w:firstLine="482"/>
        <w:rPr>
          <w:rFonts w:ascii="Times New Roman" w:hAnsi="Times New Roman"/>
          <w:b/>
          <w:sz w:val="24"/>
          <w:szCs w:val="24"/>
        </w:rPr>
      </w:pPr>
      <w:r>
        <w:rPr>
          <w:rFonts w:hint="eastAsia" w:ascii="Times New Roman" w:hAnsi="Times New Roman" w:cs="宋体"/>
          <w:b/>
          <w:sz w:val="24"/>
          <w:szCs w:val="24"/>
        </w:rPr>
        <w:t>八、凡对本次采购提出询问，请按以下方式联系</w:t>
      </w:r>
    </w:p>
    <w:p w14:paraId="3F76358C">
      <w:pPr>
        <w:spacing w:line="360" w:lineRule="auto"/>
        <w:ind w:firstLine="480"/>
        <w:rPr>
          <w:rFonts w:ascii="Times New Roman" w:hAnsi="Times New Roman"/>
          <w:sz w:val="24"/>
          <w:szCs w:val="24"/>
        </w:rPr>
      </w:pPr>
      <w:r>
        <w:rPr>
          <w:rFonts w:hint="eastAsia" w:ascii="Times New Roman" w:hAnsi="Times New Roman"/>
          <w:sz w:val="24"/>
          <w:szCs w:val="24"/>
        </w:rPr>
        <w:t>1.采购人信息</w:t>
      </w:r>
    </w:p>
    <w:p w14:paraId="34F11DF1">
      <w:pPr>
        <w:spacing w:line="360" w:lineRule="auto"/>
        <w:ind w:firstLine="480"/>
        <w:rPr>
          <w:rFonts w:ascii="Times New Roman" w:hAnsi="Times New Roman"/>
          <w:sz w:val="24"/>
          <w:szCs w:val="24"/>
        </w:rPr>
      </w:pPr>
      <w:r>
        <w:rPr>
          <w:rFonts w:hint="eastAsia" w:ascii="Times New Roman" w:hAnsi="Times New Roman"/>
          <w:sz w:val="24"/>
          <w:szCs w:val="24"/>
        </w:rPr>
        <w:t>名称：南通市生态环境局</w:t>
      </w:r>
      <w:r>
        <w:rPr>
          <w:rFonts w:ascii="Times New Roman" w:hAnsi="Times New Roman"/>
          <w:sz w:val="24"/>
          <w:szCs w:val="24"/>
        </w:rPr>
        <w:t xml:space="preserve"> </w:t>
      </w:r>
    </w:p>
    <w:p w14:paraId="2116777A">
      <w:pPr>
        <w:spacing w:line="360" w:lineRule="auto"/>
        <w:ind w:firstLine="480"/>
        <w:rPr>
          <w:rFonts w:ascii="Times New Roman" w:hAnsi="Times New Roman"/>
          <w:sz w:val="24"/>
          <w:szCs w:val="24"/>
        </w:rPr>
      </w:pPr>
      <w:r>
        <w:rPr>
          <w:rFonts w:hint="eastAsia" w:ascii="Times New Roman" w:hAnsi="Times New Roman"/>
          <w:sz w:val="24"/>
          <w:szCs w:val="24"/>
        </w:rPr>
        <w:t>地址：南通市崇川区姚港路52号江景苑G座南楼</w:t>
      </w:r>
    </w:p>
    <w:p w14:paraId="75F23D63">
      <w:pPr>
        <w:spacing w:line="360" w:lineRule="auto"/>
        <w:ind w:firstLine="480"/>
        <w:rPr>
          <w:rFonts w:ascii="Times New Roman" w:hAnsi="Times New Roman"/>
          <w:sz w:val="24"/>
          <w:szCs w:val="24"/>
        </w:rPr>
      </w:pPr>
      <w:r>
        <w:rPr>
          <w:rFonts w:hint="eastAsia" w:ascii="Times New Roman" w:hAnsi="Times New Roman"/>
          <w:sz w:val="24"/>
          <w:szCs w:val="24"/>
        </w:rPr>
        <w:t>联系人：钱女士</w:t>
      </w:r>
    </w:p>
    <w:p w14:paraId="3D6DBE69">
      <w:pPr>
        <w:spacing w:line="360" w:lineRule="auto"/>
        <w:ind w:firstLine="480"/>
        <w:rPr>
          <w:rFonts w:ascii="Times New Roman" w:hAnsi="Times New Roman"/>
          <w:sz w:val="24"/>
          <w:szCs w:val="24"/>
        </w:rPr>
      </w:pPr>
      <w:r>
        <w:rPr>
          <w:rFonts w:hint="eastAsia" w:ascii="Times New Roman" w:hAnsi="Times New Roman"/>
          <w:sz w:val="24"/>
          <w:szCs w:val="24"/>
        </w:rPr>
        <w:t>联系方式：0513-59002842</w:t>
      </w:r>
    </w:p>
    <w:p w14:paraId="09DE9594">
      <w:pPr>
        <w:spacing w:line="360" w:lineRule="auto"/>
        <w:ind w:firstLine="480"/>
        <w:rPr>
          <w:rFonts w:ascii="Times New Roman" w:hAnsi="Times New Roman" w:cs="宋体"/>
          <w:bCs/>
          <w:sz w:val="24"/>
        </w:rPr>
      </w:pPr>
      <w:r>
        <w:rPr>
          <w:rFonts w:hint="eastAsia" w:ascii="Times New Roman" w:hAnsi="Times New Roman" w:cs="宋体"/>
          <w:bCs/>
          <w:sz w:val="24"/>
        </w:rPr>
        <w:t>2.采购代理机构信息</w:t>
      </w:r>
    </w:p>
    <w:p w14:paraId="3B1CFF2C">
      <w:pPr>
        <w:spacing w:line="360" w:lineRule="auto"/>
        <w:ind w:firstLine="480"/>
        <w:rPr>
          <w:rFonts w:ascii="Times New Roman" w:hAnsi="Times New Roman" w:cs="宋体"/>
          <w:bCs/>
          <w:sz w:val="24"/>
        </w:rPr>
      </w:pPr>
      <w:r>
        <w:rPr>
          <w:rFonts w:hint="eastAsia" w:ascii="Times New Roman" w:hAnsi="Times New Roman" w:cs="宋体"/>
          <w:bCs/>
          <w:sz w:val="24"/>
        </w:rPr>
        <w:t>名称：中通服网盈科技有限公司</w:t>
      </w:r>
      <w:r>
        <w:rPr>
          <w:rFonts w:ascii="Times New Roman" w:hAnsi="Times New Roman" w:cs="宋体"/>
          <w:bCs/>
          <w:sz w:val="24"/>
        </w:rPr>
        <w:t xml:space="preserve"> </w:t>
      </w:r>
    </w:p>
    <w:p w14:paraId="6275FB7F">
      <w:pPr>
        <w:spacing w:line="360" w:lineRule="auto"/>
        <w:ind w:firstLine="480"/>
        <w:rPr>
          <w:rFonts w:ascii="Times New Roman" w:hAnsi="Times New Roman"/>
          <w:sz w:val="24"/>
          <w:szCs w:val="24"/>
        </w:rPr>
      </w:pPr>
      <w:r>
        <w:rPr>
          <w:rFonts w:hint="eastAsia" w:ascii="Times New Roman" w:hAnsi="Times New Roman"/>
          <w:sz w:val="24"/>
          <w:szCs w:val="24"/>
        </w:rPr>
        <w:t>地址：</w:t>
      </w:r>
      <w:r>
        <w:rPr>
          <w:rFonts w:ascii="Times New Roman" w:hAnsi="Times New Roman"/>
          <w:sz w:val="24"/>
          <w:szCs w:val="24"/>
        </w:rPr>
        <w:t xml:space="preserve"> </w:t>
      </w:r>
      <w:r>
        <w:rPr>
          <w:rFonts w:hint="eastAsia" w:ascii="Times New Roman" w:hAnsi="Times New Roman"/>
          <w:sz w:val="24"/>
          <w:szCs w:val="24"/>
        </w:rPr>
        <w:t>南通市崇川区环城南路11号</w:t>
      </w:r>
    </w:p>
    <w:p w14:paraId="633E2009">
      <w:pPr>
        <w:spacing w:line="360" w:lineRule="auto"/>
        <w:ind w:firstLine="480"/>
        <w:rPr>
          <w:rFonts w:ascii="Times New Roman" w:hAnsi="Times New Roman"/>
          <w:sz w:val="24"/>
          <w:szCs w:val="24"/>
        </w:rPr>
      </w:pPr>
      <w:r>
        <w:rPr>
          <w:rFonts w:hint="eastAsia" w:ascii="Times New Roman" w:hAnsi="Times New Roman"/>
          <w:sz w:val="24"/>
          <w:szCs w:val="24"/>
        </w:rPr>
        <w:t>联系人：顾蓉蓉  尹淑瑜</w:t>
      </w:r>
      <w:r>
        <w:rPr>
          <w:rFonts w:ascii="Times New Roman" w:hAnsi="Times New Roman"/>
          <w:sz w:val="24"/>
          <w:szCs w:val="24"/>
        </w:rPr>
        <w:t xml:space="preserve"> </w:t>
      </w:r>
    </w:p>
    <w:p w14:paraId="615FDE7F">
      <w:pPr>
        <w:spacing w:line="360" w:lineRule="auto"/>
        <w:ind w:firstLine="480"/>
        <w:rPr>
          <w:rFonts w:ascii="Times New Roman" w:hAnsi="Times New Roman"/>
          <w:sz w:val="24"/>
          <w:szCs w:val="24"/>
        </w:rPr>
      </w:pPr>
      <w:r>
        <w:rPr>
          <w:rFonts w:hint="eastAsia" w:ascii="Times New Roman" w:hAnsi="Times New Roman"/>
          <w:sz w:val="24"/>
          <w:szCs w:val="24"/>
        </w:rPr>
        <w:t>联系</w:t>
      </w:r>
      <w:bookmarkStart w:id="1" w:name="_Toc28359010"/>
      <w:bookmarkStart w:id="2" w:name="_Toc28359087"/>
      <w:r>
        <w:rPr>
          <w:rFonts w:hint="eastAsia" w:ascii="Times New Roman" w:hAnsi="Times New Roman"/>
          <w:sz w:val="24"/>
          <w:szCs w:val="24"/>
        </w:rPr>
        <w:t>方式：</w:t>
      </w:r>
      <w:bookmarkEnd w:id="1"/>
      <w:bookmarkEnd w:id="2"/>
      <w:r>
        <w:rPr>
          <w:rFonts w:hint="eastAsia" w:ascii="Times New Roman" w:hAnsi="Times New Roman"/>
          <w:sz w:val="24"/>
          <w:szCs w:val="24"/>
        </w:rPr>
        <w:t>18921604603</w:t>
      </w:r>
    </w:p>
    <w:p w14:paraId="35E79730">
      <w:pPr>
        <w:spacing w:line="360" w:lineRule="auto"/>
        <w:ind w:firstLine="480"/>
        <w:rPr>
          <w:rFonts w:ascii="Times New Roman" w:hAnsi="Times New Roman"/>
          <w:sz w:val="24"/>
          <w:szCs w:val="24"/>
        </w:rPr>
      </w:pPr>
      <w:r>
        <w:rPr>
          <w:rFonts w:hint="eastAsia" w:ascii="Times New Roman" w:hAnsi="Times New Roman"/>
          <w:sz w:val="24"/>
          <w:szCs w:val="24"/>
        </w:rPr>
        <w:t xml:space="preserve">3.项目联系方式 </w:t>
      </w:r>
    </w:p>
    <w:p w14:paraId="69ED3766">
      <w:pPr>
        <w:spacing w:line="360" w:lineRule="auto"/>
        <w:ind w:firstLine="480"/>
        <w:rPr>
          <w:rFonts w:ascii="Times New Roman" w:hAnsi="Times New Roman"/>
          <w:sz w:val="24"/>
          <w:szCs w:val="24"/>
        </w:rPr>
      </w:pPr>
      <w:r>
        <w:rPr>
          <w:rFonts w:hint="eastAsia" w:ascii="Times New Roman" w:hAnsi="Times New Roman"/>
          <w:sz w:val="24"/>
          <w:szCs w:val="24"/>
        </w:rPr>
        <w:t>联系人：顾蓉蓉</w:t>
      </w:r>
    </w:p>
    <w:p w14:paraId="5F5DD9F7">
      <w:pPr>
        <w:spacing w:line="360" w:lineRule="auto"/>
        <w:ind w:firstLine="480"/>
        <w:rPr>
          <w:rFonts w:ascii="Times New Roman" w:hAnsi="Times New Roman"/>
          <w:sz w:val="24"/>
          <w:szCs w:val="24"/>
        </w:rPr>
      </w:pPr>
      <w:r>
        <w:rPr>
          <w:rFonts w:hint="eastAsia" w:ascii="Times New Roman" w:hAnsi="Times New Roman"/>
          <w:sz w:val="24"/>
          <w:szCs w:val="24"/>
        </w:rPr>
        <w:t>电话：18921604603</w:t>
      </w:r>
    </w:p>
    <w:p w14:paraId="2303C525">
      <w:pPr>
        <w:spacing w:line="360" w:lineRule="auto"/>
        <w:ind w:firstLine="480"/>
        <w:rPr>
          <w:rFonts w:ascii="Times New Roman" w:hAnsi="Times New Roman"/>
          <w:b/>
          <w:color w:val="000000" w:themeColor="text1"/>
          <w:sz w:val="24"/>
          <w:szCs w:val="24"/>
          <w14:textFill>
            <w14:solidFill>
              <w14:schemeClr w14:val="tx1"/>
            </w14:solidFill>
          </w14:textFill>
        </w:rPr>
      </w:pPr>
    </w:p>
    <w:p w14:paraId="34C9E6D3">
      <w:pPr>
        <w:spacing w:line="360" w:lineRule="auto"/>
        <w:ind w:firstLine="480"/>
        <w:rPr>
          <w:rFonts w:ascii="Times New Roman" w:hAnsi="Times New Roman"/>
          <w:b/>
          <w:color w:val="000000" w:themeColor="text1"/>
          <w:sz w:val="24"/>
          <w:szCs w:val="24"/>
          <w14:textFill>
            <w14:solidFill>
              <w14:schemeClr w14:val="tx1"/>
            </w14:solidFill>
          </w14:textFill>
        </w:rPr>
      </w:pPr>
    </w:p>
    <w:p w14:paraId="680F9DB1">
      <w:pPr>
        <w:spacing w:line="360" w:lineRule="auto"/>
        <w:ind w:firstLine="480"/>
        <w:rPr>
          <w:rFonts w:ascii="Times New Roman" w:hAnsi="Times New Roman"/>
          <w:b/>
          <w:color w:val="000000" w:themeColor="text1"/>
          <w:sz w:val="24"/>
          <w:szCs w:val="24"/>
          <w14:textFill>
            <w14:solidFill>
              <w14:schemeClr w14:val="tx1"/>
            </w14:solidFill>
          </w14:textFill>
        </w:rPr>
      </w:pPr>
    </w:p>
    <w:p w14:paraId="3A3CB4CA">
      <w:pPr>
        <w:spacing w:line="360" w:lineRule="auto"/>
        <w:ind w:firstLine="480"/>
        <w:rPr>
          <w:rFonts w:ascii="Times New Roman" w:hAnsi="Times New Roman"/>
          <w:b/>
          <w:color w:val="000000" w:themeColor="text1"/>
          <w:sz w:val="24"/>
          <w:szCs w:val="24"/>
          <w14:textFill>
            <w14:solidFill>
              <w14:schemeClr w14:val="tx1"/>
            </w14:solidFill>
          </w14:textFill>
        </w:rPr>
      </w:pPr>
    </w:p>
    <w:p w14:paraId="757DD1A0">
      <w:pPr>
        <w:widowControl/>
        <w:jc w:val="left"/>
        <w:rPr>
          <w:rFonts w:ascii="Times New Roman" w:hAnsi="Times New Roman"/>
          <w:b/>
          <w:color w:val="000000" w:themeColor="text1"/>
          <w:sz w:val="48"/>
          <w:szCs w:val="44"/>
          <w14:textFill>
            <w14:solidFill>
              <w14:schemeClr w14:val="tx1"/>
            </w14:solidFill>
          </w14:textFill>
        </w:rPr>
      </w:pPr>
    </w:p>
    <w:p w14:paraId="76DFE753">
      <w:pPr>
        <w:pStyle w:val="2"/>
        <w:keepNext w:val="0"/>
        <w:keepLines w:val="0"/>
        <w:spacing w:before="0" w:after="0" w:line="360" w:lineRule="auto"/>
        <w:jc w:val="center"/>
        <w:rPr>
          <w:rFonts w:ascii="Times New Roman" w:hAnsi="Times New Roman" w:eastAsia="宋体"/>
          <w:color w:val="000000" w:themeColor="text1"/>
          <w:sz w:val="48"/>
          <w:szCs w:val="44"/>
          <w14:textFill>
            <w14:solidFill>
              <w14:schemeClr w14:val="tx1"/>
            </w14:solidFill>
          </w14:textFill>
        </w:rPr>
      </w:pPr>
      <w:r>
        <w:rPr>
          <w:rFonts w:ascii="Times New Roman" w:hAnsi="Times New Roman" w:eastAsia="宋体"/>
          <w:color w:val="000000" w:themeColor="text1"/>
          <w:sz w:val="48"/>
          <w:szCs w:val="44"/>
          <w14:textFill>
            <w14:solidFill>
              <w14:schemeClr w14:val="tx1"/>
            </w14:solidFill>
          </w14:textFill>
        </w:rPr>
        <w:br w:type="page" w:clear="all"/>
      </w:r>
      <w:r>
        <w:rPr>
          <w:rFonts w:hint="eastAsia" w:ascii="Times New Roman" w:hAnsi="Times New Roman" w:eastAsia="宋体"/>
          <w:color w:val="000000" w:themeColor="text1"/>
          <w:sz w:val="48"/>
          <w:szCs w:val="44"/>
          <w14:textFill>
            <w14:solidFill>
              <w14:schemeClr w14:val="tx1"/>
            </w14:solidFill>
          </w14:textFill>
        </w:rPr>
        <w:t>第二章 供应商须知</w:t>
      </w:r>
    </w:p>
    <w:p w14:paraId="06BA5344">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一、说明</w:t>
      </w:r>
    </w:p>
    <w:p w14:paraId="351911C6">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1.本竞争性磋商文件仅适用于采购人组织的竞争性磋商采购活动。</w:t>
      </w:r>
    </w:p>
    <w:p w14:paraId="1DCBAA01">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2.竞争性磋商活动及因本次磋商产生的合同受中国法律制约和保护。</w:t>
      </w:r>
    </w:p>
    <w:p w14:paraId="2945B05F">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3.竞争性磋商文件的解释权属于采购人。</w:t>
      </w:r>
    </w:p>
    <w:p w14:paraId="718BF55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4.供应商应认真审阅磋商文件中所有的事项、格式、条款和规范要求等，如果供应商没有按照磋商文件要求提交响应文件，或者响应文件没有对磋商文件做出实质性响应，将被拒绝参与项目的磋商。</w:t>
      </w:r>
    </w:p>
    <w:p w14:paraId="214FF9BA">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二、磋商文件的澄清、修改、答疑</w:t>
      </w:r>
    </w:p>
    <w:p w14:paraId="142C166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1.采购人、采购代理机构有权对发出的磋商文件进行必要的澄清、修改或补充。</w:t>
      </w:r>
    </w:p>
    <w:p w14:paraId="7A656D3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2.磋商文件的澄清、修改、补充等内容均以书面明确的形式发布，并以南通市生态环境局官网发布的信息为准。</w:t>
      </w:r>
    </w:p>
    <w:p w14:paraId="201B254E">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3.采购人、采购代理机构对磋商文件的澄清、修改将构成磋商文件的一部分，对响应磋商的供应商具有约束力。</w:t>
      </w:r>
    </w:p>
    <w:p w14:paraId="4C72EAD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6FA81B3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5.除非采购人、采购代理机构以书面的形式对磋商文件作出澄清、修改及补充，供应商对涉及磋商文件的任何推论、理解和结论所造成的结果，均由供应商自负。</w:t>
      </w:r>
    </w:p>
    <w:p w14:paraId="1F28D00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6.采购单位视情组织答疑会。如有产生答疑且对磋商文件内容有修改，代理机构将按照本须知有关规定，以补充通知（公告）的方式发出。</w:t>
      </w:r>
    </w:p>
    <w:p w14:paraId="7BC1FF59">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三、本项目涉及到的现场勘察</w:t>
      </w:r>
    </w:p>
    <w:p w14:paraId="5C6DF2D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1.根据自身需要，供应商可在响应文件递交之日前对有关现场和周围环境进行勘察，以获取编制响应文件和签署合同所需的信息。勘察现场所发生的费用由供应商自己承担。</w:t>
      </w:r>
    </w:p>
    <w:p w14:paraId="010AFA1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2.采购人向供应商提供的有关现场的资料和数据，是采购人现有的并认为能使供应商可利用的资料。采购人对供应商由此而做出的推论、理解和结论概不负责。</w:t>
      </w:r>
    </w:p>
    <w:p w14:paraId="1D298DE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3.经采购人允许，供应商可为勘察目的进入采购人的项目现场，但供应商不得因此使采购人承担有关的责任和蒙受损失。供应商应承担勘察现场的责任和风险。</w:t>
      </w:r>
    </w:p>
    <w:p w14:paraId="5E36150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5BD0F29C">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四、响应文件的编制及装订</w:t>
      </w:r>
    </w:p>
    <w:p w14:paraId="79F83D02">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供应商按磋商文件要求编写响应文件，并装订成册（不得采用活页夹等可随时拆换的方式装订）。响应文件不得行间插字、涂改、增删，如修改错漏处，须经响应文件签署人签字并加盖公章。</w:t>
      </w:r>
    </w:p>
    <w:p w14:paraId="43497CF9">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五、响应文件的份数和签署</w:t>
      </w:r>
    </w:p>
    <w:p w14:paraId="754C310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1.响应文件由：</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资格审查文件、</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商务技术响应文件、③报价响应文件共3部分组成（以下由文件序号代称）。</w:t>
      </w:r>
    </w:p>
    <w:p w14:paraId="07029C56">
      <w:pPr>
        <w:spacing w:line="360" w:lineRule="auto"/>
        <w:ind w:firstLine="480"/>
        <w:rPr>
          <w:rFonts w:ascii="Times New Roman" w:hAnsi="Times New Roman" w:cs="宋体"/>
          <w:b/>
          <w:color w:val="000000" w:themeColor="text1"/>
          <w:sz w:val="24"/>
          <w:szCs w:val="24"/>
          <w:u w:val="single"/>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w:t>
      </w:r>
      <w:r>
        <w:rPr>
          <w:rFonts w:hint="eastAsia" w:ascii="Times New Roman" w:hAnsi="Times New Roman" w:cs="宋体"/>
          <w:b/>
          <w:color w:val="000000" w:themeColor="text1"/>
          <w:sz w:val="24"/>
          <w:szCs w:val="24"/>
          <w14:textFill>
            <w14:solidFill>
              <w14:schemeClr w14:val="tx1"/>
            </w14:solidFill>
          </w14:textFill>
        </w:rPr>
        <w:t>响应文件均为一式叁份，其中“正本”壹份和“副本”贰份。</w:t>
      </w:r>
    </w:p>
    <w:p w14:paraId="0A345634">
      <w:pPr>
        <w:spacing w:line="360" w:lineRule="auto"/>
        <w:ind w:firstLine="47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3.在每份响应文件上要明确标注项目名称、对应的响应文件名称、供应商的全称、日期、“正本”、“副本”字样。“正本”和“副本”若有差异，概以“正本”为准。</w:t>
      </w:r>
    </w:p>
    <w:p w14:paraId="14DBBCE5">
      <w:pPr>
        <w:spacing w:line="360" w:lineRule="auto"/>
        <w:ind w:firstLine="47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4.响应文件中的所有“正本”，其正文内容须按磋商文件要求由供应商法定代表人或被授权人签字（或盖章）并加盖单位公章。“副本”可复印，但须加盖单位公章。</w:t>
      </w:r>
    </w:p>
    <w:p w14:paraId="4CEA52EA">
      <w:pPr>
        <w:spacing w:line="360" w:lineRule="auto"/>
        <w:ind w:firstLine="47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六、响应文件的密封及标记</w:t>
      </w:r>
    </w:p>
    <w:p w14:paraId="547BBDEA">
      <w:pPr>
        <w:spacing w:line="360" w:lineRule="auto"/>
        <w:ind w:firstLine="480"/>
        <w:rPr>
          <w:rFonts w:ascii="Times New Roman" w:hAnsi="Times New Roman" w:cs="宋体"/>
          <w:color w:val="000000" w:themeColor="text1"/>
          <w:sz w:val="24"/>
          <w:szCs w:val="24"/>
          <w:u w:val="single"/>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1.供应商须将本项目响应文件：</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w:t>
      </w:r>
      <w:r>
        <w:rPr>
          <w:rFonts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3 \* GB3</w:instrText>
      </w:r>
      <w:r>
        <w:rPr>
          <w:rFonts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③</w:t>
      </w:r>
      <w:r>
        <w:rPr>
          <w:rFonts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b/>
          <w:color w:val="000000" w:themeColor="text1"/>
          <w:sz w:val="24"/>
          <w:szCs w:val="24"/>
          <w14:textFill>
            <w14:solidFill>
              <w14:schemeClr w14:val="tx1"/>
            </w14:solidFill>
          </w14:textFill>
        </w:rPr>
        <w:t>单独密封</w:t>
      </w:r>
      <w:r>
        <w:rPr>
          <w:rFonts w:hint="eastAsia" w:ascii="Times New Roman" w:hAnsi="Times New Roman" w:cs="宋体"/>
          <w:color w:val="000000" w:themeColor="text1"/>
          <w:sz w:val="24"/>
          <w:szCs w:val="24"/>
          <w14:textFill>
            <w14:solidFill>
              <w14:schemeClr w14:val="tx1"/>
            </w14:solidFill>
          </w14:textFill>
        </w:rPr>
        <w:t>。响应文件正副本可统一密封或分别密封，如正本和副本分别密封的，应在封袋上标明正、副本字样。</w:t>
      </w:r>
    </w:p>
    <w:p w14:paraId="2A318AD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2.密封后，应在每一密封的响应文件上明确标注磋商项目名称、响应文件各自对应的名称、供应商的全称及日期并加盖供应商公章。</w:t>
      </w:r>
    </w:p>
    <w:p w14:paraId="49A8CD06">
      <w:pPr>
        <w:spacing w:line="360" w:lineRule="auto"/>
        <w:ind w:firstLine="482"/>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【特别提醒】</w:t>
      </w:r>
      <w:r>
        <w:rPr>
          <w:rFonts w:hint="eastAsia" w:ascii="Times New Roman" w:hAnsi="Times New Roman" w:cs="宋体"/>
          <w:color w:val="000000" w:themeColor="text1"/>
          <w:sz w:val="24"/>
          <w:szCs w:val="24"/>
          <w14:textFill>
            <w14:solidFill>
              <w14:schemeClr w14:val="tx1"/>
            </w14:solidFill>
          </w14:textFill>
        </w:rPr>
        <w:t>响应文件中的</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和</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的“正本”或“副本”中，均不得含有报价响应文件中报价表（报价单）内的任何项目价格，否则作无效响应处理。</w:t>
      </w:r>
    </w:p>
    <w:p w14:paraId="6BCE345F">
      <w:pPr>
        <w:spacing w:line="360" w:lineRule="auto"/>
        <w:ind w:firstLine="496"/>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七、磋商报价</w:t>
      </w:r>
    </w:p>
    <w:p w14:paraId="60BC0E81">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w:t>
      </w:r>
      <w:r>
        <w:rPr>
          <w:rFonts w:hint="eastAsia" w:ascii="Times New Roman" w:hAnsi="Times New Roman" w:cs="宋体"/>
          <w:color w:val="000000" w:themeColor="text1"/>
          <w:sz w:val="24"/>
          <w14:textFill>
            <w14:solidFill>
              <w14:schemeClr w14:val="tx1"/>
            </w14:solidFill>
          </w14:textFill>
        </w:rPr>
        <w:t>报价供应商应对所要采购的全部内容进行报价，一个项目只允许一个报价，只报其中部分内容的或出现选择性报价，将被视为无效报价</w:t>
      </w:r>
      <w:r>
        <w:rPr>
          <w:rFonts w:hint="eastAsia" w:ascii="Times New Roman" w:hAnsi="Times New Roman" w:cs="宋体"/>
          <w:color w:val="000000" w:themeColor="text1"/>
          <w:sz w:val="24"/>
          <w:szCs w:val="24"/>
          <w14:textFill>
            <w14:solidFill>
              <w14:schemeClr w14:val="tx1"/>
            </w14:solidFill>
          </w14:textFill>
        </w:rPr>
        <w:t>。</w:t>
      </w:r>
    </w:p>
    <w:p w14:paraId="29855D95">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2.磋商报价均以人民币为报价的币种。</w:t>
      </w:r>
    </w:p>
    <w:p w14:paraId="7C63D41F">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1CCDB5E8">
      <w:pPr>
        <w:spacing w:line="360" w:lineRule="auto"/>
        <w:ind w:firstLine="494"/>
        <w:rPr>
          <w:rFonts w:ascii="Times New Roman" w:hAnsi="Times New Roman"/>
          <w:color w:val="000000" w:themeColor="text1"/>
          <w:sz w:val="24"/>
          <w:szCs w:val="24"/>
          <w14:textFill>
            <w14:solidFill>
              <w14:schemeClr w14:val="tx1"/>
            </w14:solidFill>
          </w14:textFill>
        </w:rPr>
      </w:pPr>
      <w:r>
        <w:rPr>
          <w:rFonts w:hint="eastAsia" w:ascii="Times New Roman" w:hAnsi="Times New Roman" w:cs="宋体"/>
          <w:b/>
          <w:bCs/>
          <w:sz w:val="24"/>
          <w:szCs w:val="24"/>
        </w:rPr>
        <w:t>4.</w:t>
      </w:r>
      <w:r>
        <w:rPr>
          <w:rFonts w:hint="eastAsia" w:ascii="Times New Roman" w:hAnsi="Times New Roman"/>
          <w:b/>
          <w:bCs/>
          <w:sz w:val="24"/>
          <w:szCs w:val="24"/>
        </w:rPr>
        <w:t>各供应商结合磋商文件及相关资料等包括的全部内容，所报总价为按期且确保顺利完成的本项目涉及的所有费用。各供应商应充分考虑影响本次报价的因素、预计实施过程中各种不利因素，由此可能发生的费用均须自行考虑并包含在报价中。</w:t>
      </w:r>
    </w:p>
    <w:p w14:paraId="1AC83683">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0DE00008">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6.竞争性磋商的最终报价为成交价。同时，供应商的最终成交价在合同实施期间不因市场变化因素而变动。</w:t>
      </w:r>
    </w:p>
    <w:p w14:paraId="656DEE79">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w:t>
      </w:r>
      <w:r>
        <w:rPr>
          <w:rFonts w:hint="eastAsia" w:ascii="Times New Roman" w:hAnsi="Times New Roman" w:cs="宋体"/>
          <w:color w:val="000000" w:themeColor="text1"/>
          <w:sz w:val="24"/>
          <w14:textFill>
            <w14:solidFill>
              <w14:schemeClr w14:val="tx1"/>
            </w14:solidFill>
          </w14:textFill>
        </w:rPr>
        <w:t>最终报价将作为磋商小组评定成交供应商的依据</w:t>
      </w:r>
      <w:r>
        <w:rPr>
          <w:rFonts w:hint="eastAsia" w:ascii="Times New Roman" w:hAnsi="Times New Roman" w:cs="宋体"/>
          <w:color w:val="000000" w:themeColor="text1"/>
          <w:sz w:val="24"/>
          <w:szCs w:val="24"/>
          <w14:textFill>
            <w14:solidFill>
              <w14:schemeClr w14:val="tx1"/>
            </w14:solidFill>
          </w14:textFill>
        </w:rPr>
        <w:t>。</w:t>
      </w:r>
    </w:p>
    <w:p w14:paraId="4562814E">
      <w:pPr>
        <w:spacing w:line="360" w:lineRule="auto"/>
        <w:ind w:firstLine="496"/>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八、联合体参与磋商</w:t>
      </w:r>
    </w:p>
    <w:p w14:paraId="6F077602">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不接受任何形式的联合体参与本项目的竞争性磋商。</w:t>
      </w:r>
    </w:p>
    <w:p w14:paraId="0C47216B">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九、磋商保证金</w:t>
      </w:r>
    </w:p>
    <w:p w14:paraId="1FD9AE8F">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无</w:t>
      </w:r>
    </w:p>
    <w:p w14:paraId="7D0A6FA0">
      <w:pPr>
        <w:spacing w:line="360" w:lineRule="auto"/>
        <w:ind w:firstLine="482"/>
        <w:contextualSpacing/>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十、</w:t>
      </w:r>
      <w:r>
        <w:rPr>
          <w:rFonts w:hint="eastAsia" w:ascii="Times New Roman" w:hAnsi="Times New Roman"/>
          <w:b/>
          <w:bCs/>
          <w:color w:val="000000" w:themeColor="text1"/>
          <w:sz w:val="24"/>
          <w:szCs w:val="24"/>
          <w14:textFill>
            <w14:solidFill>
              <w14:schemeClr w14:val="tx1"/>
            </w14:solidFill>
          </w14:textFill>
        </w:rPr>
        <w:t>响应</w:t>
      </w:r>
      <w:r>
        <w:rPr>
          <w:rFonts w:ascii="Times New Roman" w:hAnsi="Times New Roman"/>
          <w:b/>
          <w:bCs/>
          <w:color w:val="000000" w:themeColor="text1"/>
          <w:sz w:val="24"/>
          <w:szCs w:val="24"/>
          <w14:textFill>
            <w14:solidFill>
              <w14:schemeClr w14:val="tx1"/>
            </w14:solidFill>
          </w14:textFill>
        </w:rPr>
        <w:t>文件的有效期</w:t>
      </w:r>
    </w:p>
    <w:p w14:paraId="14693880">
      <w:pPr>
        <w:spacing w:line="360" w:lineRule="auto"/>
        <w:ind w:firstLine="480"/>
        <w:contextualSpacing/>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从</w:t>
      </w:r>
      <w:r>
        <w:rPr>
          <w:rFonts w:hint="eastAsia" w:ascii="Times New Roman" w:hAnsi="Times New Roman"/>
          <w:color w:val="000000" w:themeColor="text1"/>
          <w:sz w:val="24"/>
          <w:szCs w:val="24"/>
          <w14:textFill>
            <w14:solidFill>
              <w14:schemeClr w14:val="tx1"/>
            </w14:solidFill>
          </w14:textFill>
        </w:rPr>
        <w:t>响应</w:t>
      </w:r>
      <w:r>
        <w:rPr>
          <w:rFonts w:ascii="Times New Roman" w:hAnsi="Times New Roman"/>
          <w:color w:val="000000" w:themeColor="text1"/>
          <w:sz w:val="24"/>
          <w:szCs w:val="24"/>
          <w14:textFill>
            <w14:solidFill>
              <w14:schemeClr w14:val="tx1"/>
            </w14:solidFill>
          </w14:textFill>
        </w:rPr>
        <w:t>文件接收截止之日起</w:t>
      </w:r>
      <w:r>
        <w:rPr>
          <w:rFonts w:hint="eastAsia" w:ascii="Times New Roman" w:hAnsi="Times New Roman"/>
          <w:color w:val="000000" w:themeColor="text1"/>
          <w:sz w:val="24"/>
          <w:szCs w:val="24"/>
          <w14:textFill>
            <w14:solidFill>
              <w14:schemeClr w14:val="tx1"/>
            </w14:solidFill>
          </w14:textFill>
        </w:rPr>
        <w:t>算</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u w:val="single"/>
          <w14:textFill>
            <w14:solidFill>
              <w14:schemeClr w14:val="tx1"/>
            </w14:solidFill>
          </w14:textFill>
        </w:rPr>
        <w:t>60</w:t>
      </w:r>
      <w:r>
        <w:rPr>
          <w:rFonts w:ascii="Times New Roman" w:hAnsi="Times New Roman"/>
          <w:color w:val="000000" w:themeColor="text1"/>
          <w:sz w:val="24"/>
          <w:szCs w:val="24"/>
          <w14:textFill>
            <w14:solidFill>
              <w14:schemeClr w14:val="tx1"/>
            </w14:solidFill>
          </w14:textFill>
        </w:rPr>
        <w:t>个日历天内</w:t>
      </w:r>
      <w:r>
        <w:rPr>
          <w:rFonts w:hint="eastAsia" w:ascii="Times New Roman" w:hAnsi="Times New Roman"/>
          <w:color w:val="000000" w:themeColor="text1"/>
          <w:sz w:val="24"/>
          <w:szCs w:val="24"/>
          <w14:textFill>
            <w14:solidFill>
              <w14:schemeClr w14:val="tx1"/>
            </w14:solidFill>
          </w14:textFill>
        </w:rPr>
        <w:t>响应文件</w:t>
      </w:r>
      <w:r>
        <w:rPr>
          <w:rFonts w:ascii="Times New Roman" w:hAnsi="Times New Roman"/>
          <w:color w:val="000000" w:themeColor="text1"/>
          <w:sz w:val="24"/>
          <w:szCs w:val="24"/>
          <w14:textFill>
            <w14:solidFill>
              <w14:schemeClr w14:val="tx1"/>
            </w14:solidFill>
          </w14:textFill>
        </w:rPr>
        <w:t>应保持有效。</w:t>
      </w:r>
      <w:r>
        <w:rPr>
          <w:rFonts w:hint="eastAsia" w:ascii="Times New Roman" w:hAnsi="Times New Roman"/>
          <w:color w:val="000000" w:themeColor="text1"/>
          <w:sz w:val="24"/>
          <w:szCs w:val="24"/>
          <w14:textFill>
            <w14:solidFill>
              <w14:schemeClr w14:val="tx1"/>
            </w14:solidFill>
          </w14:textFill>
        </w:rPr>
        <w:t>响应文件中承诺的响应文件有效期应当不少于采购文件中载明的响应文件有效期</w:t>
      </w:r>
      <w:r>
        <w:rPr>
          <w:rFonts w:ascii="Times New Roman" w:hAnsi="Times New Roman"/>
          <w:color w:val="000000" w:themeColor="text1"/>
          <w:sz w:val="24"/>
          <w:szCs w:val="24"/>
          <w14:textFill>
            <w14:solidFill>
              <w14:schemeClr w14:val="tx1"/>
            </w14:solidFill>
          </w14:textFill>
        </w:rPr>
        <w:t>。</w:t>
      </w:r>
    </w:p>
    <w:p w14:paraId="23A94538">
      <w:pPr>
        <w:spacing w:line="360" w:lineRule="auto"/>
        <w:ind w:firstLine="480"/>
        <w:contextualSpacing/>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在特殊情况下，采购代理机构可与供应商协商延长</w:t>
      </w:r>
      <w:r>
        <w:rPr>
          <w:rFonts w:hint="eastAsia" w:ascii="Times New Roman" w:hAnsi="Times New Roman"/>
          <w:color w:val="000000" w:themeColor="text1"/>
          <w:sz w:val="24"/>
          <w:szCs w:val="24"/>
          <w14:textFill>
            <w14:solidFill>
              <w14:schemeClr w14:val="tx1"/>
            </w14:solidFill>
          </w14:textFill>
        </w:rPr>
        <w:t>响应文件</w:t>
      </w:r>
      <w:r>
        <w:rPr>
          <w:rFonts w:ascii="Times New Roman" w:hAnsi="Times New Roman"/>
          <w:color w:val="000000" w:themeColor="text1"/>
          <w:sz w:val="24"/>
          <w:szCs w:val="24"/>
          <w14:textFill>
            <w14:solidFill>
              <w14:schemeClr w14:val="tx1"/>
            </w14:solidFill>
          </w14:textFill>
        </w:rPr>
        <w:t>的有效期。这种要求和答复都应以书面、传真、或电报的形式进行。</w:t>
      </w:r>
      <w:r>
        <w:rPr>
          <w:rFonts w:hint="eastAsia" w:ascii="Times New Roman" w:hAnsi="Times New Roman"/>
          <w:color w:val="000000" w:themeColor="text1"/>
          <w:sz w:val="24"/>
          <w:szCs w:val="24"/>
          <w14:textFill>
            <w14:solidFill>
              <w14:schemeClr w14:val="tx1"/>
            </w14:solidFill>
          </w14:textFill>
        </w:rPr>
        <w:t>同意延长响应文件有效期的供应商既不能要求也不允许修改其响应文件，同时受响应文件有效期约束的所有权利与义务均延长至新的有效期。供应商可以拒绝采购代理机构的这一要求而放弃响应。</w:t>
      </w:r>
    </w:p>
    <w:p w14:paraId="2FD12A18">
      <w:pPr>
        <w:spacing w:line="360" w:lineRule="auto"/>
        <w:ind w:firstLine="482"/>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十一、响应文件及</w:t>
      </w:r>
      <w:r>
        <w:rPr>
          <w:rFonts w:hint="eastAsia" w:ascii="Times New Roman" w:hAnsi="Times New Roman" w:cs="宋体"/>
          <w:b/>
          <w:color w:val="000000" w:themeColor="text1"/>
          <w:sz w:val="24"/>
          <w:szCs w:val="24"/>
          <w14:textFill>
            <w14:solidFill>
              <w14:schemeClr w14:val="tx1"/>
            </w14:solidFill>
          </w14:textFill>
        </w:rPr>
        <w:t>磋商</w:t>
      </w:r>
      <w:r>
        <w:rPr>
          <w:rFonts w:hint="eastAsia" w:ascii="Times New Roman" w:hAnsi="Times New Roman" w:cs="宋体"/>
          <w:b/>
          <w:bCs/>
          <w:color w:val="000000" w:themeColor="text1"/>
          <w:sz w:val="24"/>
          <w:szCs w:val="24"/>
          <w14:textFill>
            <w14:solidFill>
              <w14:schemeClr w14:val="tx1"/>
            </w14:solidFill>
          </w14:textFill>
        </w:rPr>
        <w:t>费用</w:t>
      </w:r>
    </w:p>
    <w:p w14:paraId="0648AFC4">
      <w:pPr>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1.本项目招标代理费4000元，由成交供应商支付。此费用综合考虑在响应报价内，无需单列，由供应商在领取成交通知书前向采购代理机构一次性付清。</w:t>
      </w:r>
    </w:p>
    <w:p w14:paraId="2D8BABE6">
      <w:pPr>
        <w:spacing w:line="360" w:lineRule="auto"/>
        <w:ind w:firstLine="461"/>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2.磋商程序顺利进行后所有的响应文件都将作为档案保存，不论成交与否，代理机构均不退回。</w:t>
      </w:r>
    </w:p>
    <w:p w14:paraId="624E6B26">
      <w:pPr>
        <w:spacing w:line="360" w:lineRule="auto"/>
        <w:ind w:firstLine="461"/>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3.无论磋商过程和结果如何，参加项目磋商的供应商自行承担与本次项目磋商有关的全部费用。</w:t>
      </w:r>
    </w:p>
    <w:p w14:paraId="75716D6A">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十二、履约保证金</w:t>
      </w:r>
    </w:p>
    <w:p w14:paraId="1B7F68D5">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免收</w:t>
      </w:r>
    </w:p>
    <w:p w14:paraId="01E56775">
      <w:pPr>
        <w:spacing w:line="360" w:lineRule="auto"/>
        <w:ind w:firstLine="482"/>
        <w:contextualSpacing/>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十三、</w:t>
      </w:r>
      <w:r>
        <w:rPr>
          <w:rFonts w:ascii="Times New Roman" w:hAnsi="Times New Roman"/>
          <w:b/>
          <w:bCs/>
          <w:color w:val="000000" w:themeColor="text1"/>
          <w:sz w:val="24"/>
          <w:szCs w:val="24"/>
          <w14:textFill>
            <w14:solidFill>
              <w14:schemeClr w14:val="tx1"/>
            </w14:solidFill>
          </w14:textFill>
        </w:rPr>
        <w:t>货物和服务的追加、减少和添购。</w:t>
      </w:r>
    </w:p>
    <w:p w14:paraId="58BEB032">
      <w:pPr>
        <w:spacing w:line="360" w:lineRule="auto"/>
        <w:ind w:firstLine="480"/>
        <w:contextualSpacing/>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采购合同履行中，采购人需追加与</w:t>
      </w:r>
      <w:r>
        <w:rPr>
          <w:rFonts w:hint="eastAsia" w:ascii="Times New Roman" w:hAnsi="Times New Roman"/>
          <w:bCs/>
          <w:color w:val="000000" w:themeColor="text1"/>
          <w:sz w:val="24"/>
          <w:szCs w:val="24"/>
          <w14:textFill>
            <w14:solidFill>
              <w14:schemeClr w14:val="tx1"/>
            </w14:solidFill>
          </w14:textFill>
        </w:rPr>
        <w:t>采购合同</w:t>
      </w:r>
      <w:r>
        <w:rPr>
          <w:rFonts w:ascii="Times New Roman" w:hAnsi="Times New Roman"/>
          <w:bCs/>
          <w:color w:val="000000" w:themeColor="text1"/>
          <w:sz w:val="24"/>
          <w:szCs w:val="24"/>
          <w14:textFill>
            <w14:solidFill>
              <w14:schemeClr w14:val="tx1"/>
            </w14:solidFill>
          </w14:textFill>
        </w:rPr>
        <w:t>相同的货物和服务的，在不改变合同其他条款的前提下，可以与成交供应商协商签订补充合同，但所有补充合同的采购金额不超过原合同金额10%。</w:t>
      </w:r>
    </w:p>
    <w:p w14:paraId="267A4CF4">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十四、未尽事宜</w:t>
      </w:r>
    </w:p>
    <w:p w14:paraId="3CE6EE81">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无</w:t>
      </w:r>
    </w:p>
    <w:p w14:paraId="025897BE">
      <w:pPr>
        <w:pStyle w:val="2"/>
        <w:keepNext w:val="0"/>
        <w:keepLines w:val="0"/>
        <w:spacing w:before="0" w:after="0" w:line="360" w:lineRule="auto"/>
        <w:jc w:val="center"/>
        <w:rPr>
          <w:rFonts w:ascii="Times New Roman" w:hAnsi="Times New Roman" w:eastAsia="宋体" w:cs="宋体"/>
          <w:color w:val="000000" w:themeColor="text1"/>
          <w:sz w:val="48"/>
          <w:szCs w:val="44"/>
          <w14:textFill>
            <w14:solidFill>
              <w14:schemeClr w14:val="tx1"/>
            </w14:solidFill>
          </w14:textFill>
        </w:rPr>
      </w:pPr>
      <w:r>
        <w:rPr>
          <w:rFonts w:ascii="Times New Roman" w:hAnsi="Times New Roman" w:eastAsia="宋体" w:cs="宋体"/>
          <w:color w:val="000000" w:themeColor="text1"/>
          <w:sz w:val="48"/>
          <w:szCs w:val="44"/>
          <w14:textFill>
            <w14:solidFill>
              <w14:schemeClr w14:val="tx1"/>
            </w14:solidFill>
          </w14:textFill>
        </w:rPr>
        <w:br w:type="page" w:clear="all"/>
      </w:r>
      <w:r>
        <w:rPr>
          <w:rFonts w:hint="eastAsia" w:ascii="Times New Roman" w:hAnsi="Times New Roman" w:eastAsia="宋体" w:cs="宋体"/>
          <w:color w:val="000000" w:themeColor="text1"/>
          <w:sz w:val="48"/>
          <w:szCs w:val="44"/>
          <w14:textFill>
            <w14:solidFill>
              <w14:schemeClr w14:val="tx1"/>
            </w14:solidFill>
          </w14:textFill>
        </w:rPr>
        <w:t>第三章 项目需求</w:t>
      </w:r>
    </w:p>
    <w:p w14:paraId="6703748D">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ab/>
      </w:r>
      <w:r>
        <w:rPr>
          <w:rFonts w:hint="eastAsia" w:ascii="宋体" w:hAnsi="宋体" w:cs="宋体"/>
          <w:color w:val="000000"/>
          <w:kern w:val="2"/>
          <w:sz w:val="24"/>
          <w:szCs w:val="24"/>
        </w:rPr>
        <w:tab/>
      </w:r>
    </w:p>
    <w:p w14:paraId="551723B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项目属性：服务类项目</w:t>
      </w:r>
    </w:p>
    <w:p w14:paraId="11CE4A56">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采购需求包括拟采购的标的及其需要满足的技术、商务要求。</w:t>
      </w:r>
    </w:p>
    <w:p w14:paraId="1DDFBB1B">
      <w:pPr>
        <w:snapToGrid w:val="0"/>
        <w:spacing w:line="360" w:lineRule="auto"/>
        <w:ind w:firstLine="482" w:firstLineChars="200"/>
        <w:rPr>
          <w:rFonts w:hint="eastAsia" w:ascii="宋体" w:hAnsi="宋体" w:cs="宋体"/>
          <w:b/>
          <w:bCs/>
          <w:color w:val="FF0000"/>
          <w:kern w:val="2"/>
          <w:sz w:val="24"/>
          <w:szCs w:val="24"/>
        </w:rPr>
      </w:pPr>
      <w:r>
        <w:rPr>
          <w:rFonts w:hint="eastAsia" w:ascii="宋体" w:hAnsi="宋体" w:cs="宋体"/>
          <w:b/>
          <w:bCs/>
          <w:color w:val="FF0000"/>
          <w:kern w:val="2"/>
          <w:sz w:val="24"/>
          <w:szCs w:val="24"/>
        </w:rPr>
        <w:t>本章采购需求中所有条款均为实质性响应条款，供应商不得负偏离响应，如负偏离响应认定为无效响应文件。</w:t>
      </w:r>
    </w:p>
    <w:p w14:paraId="33CDA1F3">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（一）技术要求是指对采购标的功能和质量要求，包括服务内容和标准等。</w:t>
      </w:r>
    </w:p>
    <w:p w14:paraId="61863775">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（二）商务要求是指取得采购标的的时间、地点、财务和服务要求，包括交付（实施）的时间（期限）和地点（范围），付款条件（进度和方法）等。</w:t>
      </w:r>
    </w:p>
    <w:p w14:paraId="0A78C7E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其内容包含但不限于以下内容：</w:t>
      </w:r>
    </w:p>
    <w:p w14:paraId="63B06442">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一、项目概况</w:t>
      </w:r>
    </w:p>
    <w:p w14:paraId="0103218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通过资料收集分析、现场调查、模型模拟等方法，分析我市近岸海域典型污染物的时空分布特征及影响因素，探究“十四五”时期我市近岸海域污染物排放影响规律，进一步评估海湾环境容量，为陆域污染物总量削减目标及分配方案制定提供有效数据支撑，分析评估重点任务、重点工程预期实施成效，提出重点海域综合治理攻坚、入海陆源污染防控、生态环境修复方面的对策建议。针对我市入海河流总氮等污染治理与管控难题，开展陆源污染物溯源和差异化源头治理管控措施研究，识别重点河段、重点时段、重点来源的总氮贡献特征，进行国控入海河流水环境质量跟踪评估，强化应急溯源与排查，为深入打好南通市近岸海域水质攻坚战提供技术支撑。</w:t>
      </w:r>
    </w:p>
    <w:p w14:paraId="702AF570">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二、项目内容</w:t>
      </w:r>
    </w:p>
    <w:p w14:paraId="3B16B40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开展沿海陆域污染物总量调查与评估，基于近岸海域环境容量，测算“十五五”时期总氮等污染物允许入海通量，以海定陆，为陆域污染物总量削减目标及分配方案制定提供有效数据支撑，分析评估重点任务、重点工程预期实施成效，提出近岸海域水质管控措施建议。</w:t>
      </w:r>
    </w:p>
    <w:p w14:paraId="7104B2E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二）综合运用无人机、无人船、水下机器人、加密监测等技术手段，开展掘苴河、通吕运河、通启运河、北凌河、栟茶运河、如泰运河等国控入海河流污染溯源分析，实施主要国控入海河流水环境质量跟踪评估，进行总氮问题深度溯源排查、加密监测、形势分析，提出入海河流总氮管控措施建议。</w:t>
      </w:r>
    </w:p>
    <w:p w14:paraId="5C4F28C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（三）针对突发水环境事件、总氮浓度超标等紧急情况，开展应急溯源与排查工作，并采用红外无人机等技术手段提升排查效率。</w:t>
      </w:r>
    </w:p>
    <w:p w14:paraId="63DBEEE5">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三、技术标准</w:t>
      </w:r>
    </w:p>
    <w:p w14:paraId="0768C58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1.《关于印发&lt;“十五五”全国海洋生态环境保护规划&gt;总体思路框架和&lt;“十五五”海洋生态环境保护规划编制技术大纲&gt;的通知》（环办海洋函〔2025〕158号）；</w:t>
      </w:r>
    </w:p>
    <w:p w14:paraId="596E629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2.《关于印发&lt;关于进一步加强入海河流总氮等污染治理与管控 推动近岸海域水质持续改善的意见&gt;的通知》（环办海洋函〔2024〕381号）；</w:t>
      </w:r>
    </w:p>
    <w:p w14:paraId="7AC954E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3.《关于做好重点海域入海河流总氮等污染治理与管控的意见》（环办海洋〔2023〕3号）；</w:t>
      </w:r>
    </w:p>
    <w:p w14:paraId="18CB338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4.《关于印发&lt;重点海域综合治理攻坚战行动方案&gt;的通知》（环海洋〔2022〕11号）；</w:t>
      </w:r>
    </w:p>
    <w:p w14:paraId="4683B30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5.《省生态环境厅关于做好江苏省入海排污口监督管理工作的通知》（苏环发〔2025〕2号）；</w:t>
      </w:r>
    </w:p>
    <w:p w14:paraId="457710B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6.《省生态环境厅关于做好重点海域入海河流总氮等污染治理与管控的实施意见》（苏环办〔2023〕108号）；</w:t>
      </w:r>
    </w:p>
    <w:p w14:paraId="03C9372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7.《2023年全省汛期水环境监管与水质保障工作方案》（苏污防攻坚指办〔2023〕74号）。</w:t>
      </w:r>
    </w:p>
    <w:p w14:paraId="595520D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8.《关于印发&lt;江苏省近岸海域综合治理攻坚战实施方案&gt;的通知》（苏污防攻坚指办〔2022〕39号）；</w:t>
      </w:r>
    </w:p>
    <w:p w14:paraId="31D8C95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9.《省生态环境厅关于印发〈江苏省地表水污染溯源监测技术指南（试行）〉〈江苏省环境空气污染溯源检测技术指南（试行）〉的通知》（苏环办〔2022〕9号）；</w:t>
      </w:r>
    </w:p>
    <w:p w14:paraId="64B1F40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10.《省生态环境厅关于印发〈水环境断面溯源整治工作方案编制要点（试行）〉的通知》（苏环办〔2022〕8号）；</w:t>
      </w:r>
    </w:p>
    <w:p w14:paraId="2675C49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11.《入河入海排污口监督管理技术指南-溯源总则》（HJ1313-2023）；</w:t>
      </w:r>
    </w:p>
    <w:p w14:paraId="679C4FF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12.《地表水环境质量标准》（GB3838-2002）。</w:t>
      </w:r>
    </w:p>
    <w:p w14:paraId="72B399E7">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四、成果要求</w:t>
      </w:r>
    </w:p>
    <w:p w14:paraId="6F242C7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（1）成交供应商提供近岸海域问题症结清单，入海污染物总量调查评估及水质管控对策措施报告。</w:t>
      </w:r>
    </w:p>
    <w:p w14:paraId="59CA299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（2）成交供应商提供国控入海河流污染物溯源分析报告，国控入海河流水环境质量跟踪评估报告。</w:t>
      </w:r>
    </w:p>
    <w:p w14:paraId="3BAA82C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（3）成交供应商提供应急溯源与排查工作成果报告。</w:t>
      </w:r>
    </w:p>
    <w:p w14:paraId="176744D0">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五、时间进度要求</w:t>
      </w:r>
    </w:p>
    <w:p w14:paraId="6FC7AE7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 服务期限：自本合同签订之日起算，至2026年12月。</w:t>
      </w:r>
    </w:p>
    <w:p w14:paraId="5A7CC8F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 重要进度要求：本项目计划工作时间为2026年2月至2026年12月。为保障项目顺利实施，确保项目工作质量和效果，根据具体工作内容确定项目进度计划如下：</w:t>
      </w:r>
    </w:p>
    <w:p w14:paraId="0036C5B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（1）2026年6月底前完成外业调查和测算工作，形成近岸海域问题症结清单，入海污染物总量调查评估及水质管控对策措施报告。</w:t>
      </w:r>
    </w:p>
    <w:p w14:paraId="504B950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（2）2026年8月底前完成掘苴河、通吕运河、通启运河、北凌河、栟茶运河、如泰运河等国控入海河流污染溯源分析，9月底前形成国控入海河流污染物溯源分析报告，国控入海河流水环境质量跟踪评估报告。</w:t>
      </w:r>
    </w:p>
    <w:p w14:paraId="7EA048E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（3）服务期内，根据需要及时开展突发水环境事件、总氮浓度超标等紧急情况的应急溯源与排查工作，污染事件发生一周内形成初步调查报告，2026年11月初汇总形成应急溯源与排查工作成果报告。</w:t>
      </w:r>
    </w:p>
    <w:p w14:paraId="661A236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3.服务期内，成交供应商需按“成果要求”提交最终成果，配合完成项目验收。</w:t>
      </w:r>
    </w:p>
    <w:p w14:paraId="68FB2E1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以上时间节点为本项目采购人根据项目进度规划所拟定的预计时间，具体以本合同约定项目履行期间，采购人根据上级主管部门的有关要求确定的最终时间为准。成交供应商同意，在本合同约定的有效时间范围内，采购人有权就合同阶段性成果的提交时间、履行时间节点等做相应的调整，供应商需无条件予以配合。</w:t>
      </w:r>
    </w:p>
    <w:p w14:paraId="3FE7F817">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六、其他要求</w:t>
      </w:r>
    </w:p>
    <w:p w14:paraId="41255EA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1.供应商需提供比较稳定的技术团队进行项目开展，固定具体工作联系人与采购人对接、汇报工作等事宜，视情况驻点开展工作。</w:t>
      </w:r>
    </w:p>
    <w:p w14:paraId="5EF446B4">
      <w:pPr>
        <w:widowControl/>
        <w:spacing w:line="360" w:lineRule="auto"/>
        <w:ind w:firstLine="480" w:firstLineChars="200"/>
        <w:rPr>
          <w:rFonts w:hint="eastAsia" w:ascii="宋体" w:hAnsi="宋体" w:cs="宋体"/>
          <w:sz w:val="24"/>
          <w:szCs w:val="24"/>
          <w:lang w:bidi="ar"/>
        </w:rPr>
      </w:pPr>
      <w:r>
        <w:rPr>
          <w:rFonts w:hint="eastAsia" w:ascii="宋体" w:hAnsi="宋体" w:cs="宋体"/>
          <w:sz w:val="24"/>
          <w:szCs w:val="24"/>
        </w:rPr>
        <w:t>2.保密要求：（1）成交供应商必须对项目实施过程中采用、引用和接触到的所有数据进行保密，不得用作与本项目无关的其他用途；（2）成交供应商需对项目在研究过程中产生的结论、成果进行严格保密，未经采购人同意，不得向其他任何第三方透露或公开有关研究成果。（3）</w:t>
      </w:r>
      <w:r>
        <w:rPr>
          <w:rFonts w:hint="eastAsia" w:ascii="宋体" w:hAnsi="宋体" w:cs="宋体"/>
          <w:kern w:val="2"/>
          <w:sz w:val="24"/>
          <w:szCs w:val="24"/>
          <w:lang w:bidi="ar"/>
        </w:rPr>
        <w:t>本项目相关的监测数据、图像、技术成果，以及第三方为实施本项目所提供或产生的全部研究成果，其知识产权均归采购人所有，成交供应商不得自主处置</w:t>
      </w:r>
      <w:r>
        <w:rPr>
          <w:rFonts w:hint="eastAsia" w:ascii="宋体" w:hAnsi="宋体" w:cs="宋体"/>
          <w:sz w:val="24"/>
          <w:szCs w:val="24"/>
          <w:lang w:bidi="ar"/>
        </w:rPr>
        <w:t>。</w:t>
      </w:r>
    </w:p>
    <w:p w14:paraId="721C863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3.服务要求：成交供应商应积极配合采购人处理在项目实施过程中遇到的专业性问题。服务期内要求7×24小时支持服务。</w:t>
      </w:r>
    </w:p>
    <w:p w14:paraId="4B9D754E">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七、验收标准</w:t>
      </w:r>
    </w:p>
    <w:p w14:paraId="246C4B5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成交单位应当于项目完成之日通知采购方验收并提交项目完成报告，采购方组织有关人员，依据本合同约定使用的技术标准和技术要求，对成交单位所完成的工作完成验收，并出具采购验收单，特殊情况另行协商。</w:t>
      </w:r>
    </w:p>
    <w:p w14:paraId="4B561192">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八、付款方式</w:t>
      </w:r>
    </w:p>
    <w:p w14:paraId="3FECF85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合同签订后30日内支付合同金额的30%；2026年服务期结束后，各项工作成果经专家评审通过30日内支付合同余款。</w:t>
      </w:r>
    </w:p>
    <w:p w14:paraId="55E72864">
      <w:pPr>
        <w:pStyle w:val="57"/>
        <w:spacing w:after="0" w:line="360" w:lineRule="auto"/>
        <w:ind w:firstLine="480" w:firstLineChars="200"/>
        <w:jc w:val="left"/>
        <w:rPr>
          <w:rFonts w:hint="eastAsia" w:ascii="宋体" w:hAnsi="宋体" w:eastAsia="宋体" w:cs="宋体"/>
          <w:kern w:val="2"/>
          <w:sz w:val="24"/>
          <w:szCs w:val="24"/>
          <w:lang w:eastAsia="zh-CN"/>
        </w:rPr>
      </w:pPr>
      <w:r>
        <w:rPr>
          <w:rFonts w:hint="eastAsia" w:ascii="宋体" w:hAnsi="宋体" w:cs="宋体"/>
          <w:kern w:val="2"/>
          <w:sz w:val="24"/>
          <w:szCs w:val="24"/>
        </w:rPr>
        <w:t>注：付款时供应商须提供正规发票（因发票问题而导致无法正常付款的，责任由供应商自己承担，如实际发生问题以补充协议形式附于合同之后</w:t>
      </w:r>
      <w:r>
        <w:rPr>
          <w:rFonts w:hint="eastAsia" w:ascii="宋体" w:hAnsi="宋体" w:cs="宋体"/>
          <w:kern w:val="2"/>
          <w:sz w:val="24"/>
          <w:szCs w:val="24"/>
          <w:u w:val="single"/>
          <w:lang w:eastAsia="zh-CN"/>
        </w:rPr>
        <w:t>。</w:t>
      </w:r>
    </w:p>
    <w:p w14:paraId="66D6A09A">
      <w:pPr>
        <w:pStyle w:val="57"/>
        <w:spacing w:after="0" w:line="360" w:lineRule="auto"/>
        <w:ind w:firstLine="480" w:firstLineChars="200"/>
        <w:jc w:val="left"/>
        <w:rPr>
          <w:rFonts w:hint="eastAsia" w:ascii="宋体" w:hAnsi="宋体" w:cs="宋体"/>
          <w:kern w:val="2"/>
          <w:sz w:val="24"/>
          <w:szCs w:val="24"/>
        </w:rPr>
      </w:pPr>
    </w:p>
    <w:p w14:paraId="294F0CE5">
      <w:pPr>
        <w:rPr>
          <w:rFonts w:ascii="Times New Roman" w:hAnsi="Times New Roman" w:cs="宋体"/>
          <w:color w:val="000000" w:themeColor="text1"/>
          <w:sz w:val="48"/>
          <w:szCs w:val="44"/>
          <w14:textFill>
            <w14:solidFill>
              <w14:schemeClr w14:val="tx1"/>
            </w14:solidFill>
          </w14:textFill>
        </w:rPr>
      </w:pPr>
      <w:r>
        <w:rPr>
          <w:rFonts w:hint="eastAsia" w:ascii="Times New Roman" w:hAnsi="Times New Roman" w:cs="宋体"/>
          <w:color w:val="000000" w:themeColor="text1"/>
          <w:sz w:val="48"/>
          <w:szCs w:val="44"/>
          <w14:textFill>
            <w14:solidFill>
              <w14:schemeClr w14:val="tx1"/>
            </w14:solidFill>
          </w14:textFill>
        </w:rPr>
        <w:br w:type="page"/>
      </w:r>
    </w:p>
    <w:p w14:paraId="54824B35">
      <w:pPr>
        <w:pStyle w:val="57"/>
        <w:spacing w:after="0" w:line="360" w:lineRule="auto"/>
        <w:ind w:firstLine="0" w:firstLineChars="0"/>
        <w:jc w:val="center"/>
        <w:outlineLvl w:val="0"/>
        <w:rPr>
          <w:rFonts w:cs="宋体"/>
          <w:color w:val="000000" w:themeColor="text1"/>
          <w:sz w:val="48"/>
          <w:szCs w:val="44"/>
          <w14:textFill>
            <w14:solidFill>
              <w14:schemeClr w14:val="tx1"/>
            </w14:solidFill>
          </w14:textFill>
        </w:rPr>
      </w:pPr>
      <w:r>
        <w:rPr>
          <w:rFonts w:hint="eastAsia" w:cs="宋体"/>
          <w:color w:val="000000" w:themeColor="text1"/>
          <w:sz w:val="48"/>
          <w:szCs w:val="44"/>
          <w14:textFill>
            <w14:solidFill>
              <w14:schemeClr w14:val="tx1"/>
            </w14:solidFill>
          </w14:textFill>
        </w:rPr>
        <w:t>第四章</w:t>
      </w:r>
      <w:bookmarkStart w:id="3" w:name="_Toc38121794"/>
      <w:bookmarkStart w:id="4" w:name="_Toc37322565"/>
      <w:bookmarkStart w:id="5" w:name="_Toc43217893"/>
      <w:bookmarkStart w:id="6" w:name="_Toc182848996"/>
      <w:bookmarkStart w:id="7" w:name="_Toc85627670"/>
      <w:r>
        <w:rPr>
          <w:rFonts w:hint="eastAsia" w:cs="宋体"/>
          <w:color w:val="000000" w:themeColor="text1"/>
          <w:sz w:val="48"/>
          <w:szCs w:val="44"/>
          <w14:textFill>
            <w14:solidFill>
              <w14:schemeClr w14:val="tx1"/>
            </w14:solidFill>
          </w14:textFill>
        </w:rPr>
        <w:t xml:space="preserve"> 评审方法和程序</w:t>
      </w:r>
      <w:bookmarkEnd w:id="3"/>
      <w:bookmarkEnd w:id="4"/>
      <w:bookmarkEnd w:id="5"/>
      <w:bookmarkEnd w:id="6"/>
      <w:bookmarkEnd w:id="7"/>
    </w:p>
    <w:p w14:paraId="258C14A9">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bookmarkStart w:id="8" w:name="_Toc363573857"/>
      <w:bookmarkEnd w:id="8"/>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一、代理机构组织磋商</w:t>
      </w:r>
    </w:p>
    <w:p w14:paraId="0A015A2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70EC844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2.磋商小组的职责：</w:t>
      </w:r>
    </w:p>
    <w:p w14:paraId="3C9C5AA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（1）磋商小组成员应当按照客观、公正、审慎的原则，根据磋商文件规定的评审程序、评审方法和评审标准进行独立评审。</w:t>
      </w:r>
    </w:p>
    <w:p w14:paraId="554ED36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（2）磋商小组成员应当遵守评审工作纪律，不得泄露评审情况和评审中获悉的商业秘密，对个人的评审意见承担法律责任；</w:t>
      </w:r>
    </w:p>
    <w:p w14:paraId="4C10A6E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（3）磋商小组成员在评审过程中发现供应商有行贿、提供虚假材料或者串通等违法行为的，应当及时向财政部门报告。</w:t>
      </w:r>
    </w:p>
    <w:p w14:paraId="35DFC44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（4）磋商小组成员在评审过程中受到非法干涉的，应当及时向财政、监察等部门举报。</w:t>
      </w:r>
    </w:p>
    <w:p w14:paraId="6478F7B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（5）配合采购单位答复供应商提出的质疑；配合财政部门的投诉处理和监督检查工作。</w:t>
      </w:r>
    </w:p>
    <w:p w14:paraId="0FC4C66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3.评审有关记录由磋商小组成员签名，存档备查。</w:t>
      </w:r>
    </w:p>
    <w:p w14:paraId="0AFB645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4.供应商的法定代表人或被授权人须持身份证准时参加磋商活动会。</w:t>
      </w:r>
    </w:p>
    <w:p w14:paraId="6944FCB3">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二、磋商的原则及方法</w:t>
      </w:r>
    </w:p>
    <w:p w14:paraId="169F477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1.磋商小组依据《中华人民共和国政府采购法》、《政府采购竞争性磋商采购方式管理暂行办法》以及有关政府采购的相关法规，遵循“公开、公平、公正、择优、信用”的原则进行磋商评审。</w:t>
      </w:r>
    </w:p>
    <w:p w14:paraId="7785F51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2.磋商小组将按照竞争性磋商文件的规定，独立对每个进入打分程序的有效供应商的响应文件的技术部分以打分的形式进行评审和评价。技术分取算术平均值（计算结果均四舍五入保留两位小数）。</w:t>
      </w:r>
    </w:p>
    <w:p w14:paraId="6918C1D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75D1DF7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4.磋商文件能够详细列明采购货物的技术、服务要求的，磋商结束后，磋商小组应当要求所有实质性响应的供应商在规定时间内提交最后报价，提交最后报价的供应商不得少于3家。</w:t>
      </w:r>
    </w:p>
    <w:p w14:paraId="0F771AE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674F996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5.已提交响应文件的供应商，在提交最后报价之前，可以根据磋商情况退出磋商。</w:t>
      </w:r>
    </w:p>
    <w:p w14:paraId="73BE13C8">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5E09E567">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三、磋商评定结果的方法</w:t>
      </w:r>
    </w:p>
    <w:p w14:paraId="3CB2831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w:t>
      </w:r>
      <w:r>
        <w:rPr>
          <w:rFonts w:hint="eastAsia" w:ascii="Times New Roman" w:hAnsi="Times New Roman" w:cs="宋体"/>
          <w:b/>
          <w:color w:val="000000" w:themeColor="text1"/>
          <w:sz w:val="24"/>
          <w:szCs w:val="24"/>
          <w:u w:val="single"/>
          <w14:textFill>
            <w14:solidFill>
              <w14:schemeClr w14:val="tx1"/>
            </w14:solidFill>
          </w14:textFill>
        </w:rPr>
        <w:t>经磋商确定最终采购需求和提交最后报价的供应商后，</w:t>
      </w:r>
      <w:r>
        <w:rPr>
          <w:rFonts w:hint="eastAsia" w:ascii="Times New Roman" w:hAnsi="Times New Roman" w:cs="宋体"/>
          <w:color w:val="000000" w:themeColor="text1"/>
          <w:sz w:val="24"/>
          <w:szCs w:val="24"/>
          <w14:textFill>
            <w14:solidFill>
              <w14:schemeClr w14:val="tx1"/>
            </w14:solidFill>
          </w14:textFill>
        </w:rPr>
        <w:t>由磋商小组采用综合评分法</w:t>
      </w:r>
      <w:r>
        <w:rPr>
          <w:rFonts w:hint="eastAsia" w:ascii="Times New Roman" w:hAnsi="Times New Roman" w:cs="宋体"/>
          <w:b/>
          <w:color w:val="000000" w:themeColor="text1"/>
          <w:sz w:val="24"/>
          <w:szCs w:val="24"/>
          <w:u w:val="single"/>
          <w14:textFill>
            <w14:solidFill>
              <w14:schemeClr w14:val="tx1"/>
            </w14:solidFill>
          </w14:textFill>
        </w:rPr>
        <w:t>对提交最后报价的供应商的响应文件和最后报价</w:t>
      </w:r>
      <w:r>
        <w:rPr>
          <w:rFonts w:hint="eastAsia" w:ascii="Times New Roman" w:hAnsi="Times New Roman" w:cs="宋体"/>
          <w:color w:val="000000" w:themeColor="text1"/>
          <w:sz w:val="24"/>
          <w:szCs w:val="24"/>
          <w14:textFill>
            <w14:solidFill>
              <w14:schemeClr w14:val="tx1"/>
            </w14:solidFill>
          </w14:textFill>
        </w:rPr>
        <w:t>进行综合评分。</w:t>
      </w:r>
    </w:p>
    <w:p w14:paraId="275C386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2.评审时，磋商小组各成员应当独立对每个有效响应的文件进行评价、打分，然后汇总每个供应商每项评分因素的得分（计算结果均四舍五入保留两位小数）。</w:t>
      </w:r>
    </w:p>
    <w:p w14:paraId="17EC13C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3.本次项目磋商的技术和商务报价评审总分值为100分。两部分评审因素比重如下：</w:t>
      </w:r>
    </w:p>
    <w:p w14:paraId="56C026D1">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商务技术分值占总分值的比重为</w:t>
      </w:r>
      <w:r>
        <w:rPr>
          <w:rFonts w:hint="eastAsia" w:ascii="Times New Roman" w:hAnsi="Times New Roman" w:cs="宋体"/>
          <w:b/>
          <w:color w:val="000000" w:themeColor="text1"/>
          <w:sz w:val="24"/>
          <w:szCs w:val="24"/>
          <w:u w:val="single"/>
          <w14:textFill>
            <w14:solidFill>
              <w14:schemeClr w14:val="tx1"/>
            </w14:solidFill>
          </w14:textFill>
        </w:rPr>
        <w:t>80%（权重）</w:t>
      </w:r>
      <w:r>
        <w:rPr>
          <w:rFonts w:hint="eastAsia" w:ascii="Times New Roman" w:hAnsi="Times New Roman" w:cs="宋体"/>
          <w:color w:val="000000" w:themeColor="text1"/>
          <w:sz w:val="24"/>
          <w:szCs w:val="24"/>
          <w14:textFill>
            <w14:solidFill>
              <w14:schemeClr w14:val="tx1"/>
            </w14:solidFill>
          </w14:textFill>
        </w:rPr>
        <w:t>（四舍五入保留两位小数）；</w:t>
      </w:r>
    </w:p>
    <w:p w14:paraId="249DF220">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报价分值占总分值的比重为</w:t>
      </w:r>
      <w:r>
        <w:rPr>
          <w:rFonts w:hint="eastAsia" w:ascii="Times New Roman" w:hAnsi="Times New Roman" w:cs="宋体"/>
          <w:b/>
          <w:color w:val="000000" w:themeColor="text1"/>
          <w:sz w:val="24"/>
          <w:szCs w:val="24"/>
          <w:u w:val="single"/>
          <w14:textFill>
            <w14:solidFill>
              <w14:schemeClr w14:val="tx1"/>
            </w14:solidFill>
          </w14:textFill>
        </w:rPr>
        <w:t>20%（权重）</w:t>
      </w:r>
      <w:r>
        <w:rPr>
          <w:rFonts w:hint="eastAsia" w:ascii="Times New Roman" w:hAnsi="Times New Roman" w:cs="宋体"/>
          <w:color w:val="000000" w:themeColor="text1"/>
          <w:sz w:val="24"/>
          <w:szCs w:val="24"/>
          <w14:textFill>
            <w14:solidFill>
              <w14:schemeClr w14:val="tx1"/>
            </w14:solidFill>
          </w14:textFill>
        </w:rPr>
        <w:t>（四舍五入保留两位小数）。</w:t>
      </w:r>
    </w:p>
    <w:p w14:paraId="5A5E7311">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4.技术分按算术平均值计算，分值四舍五入保留两位小数。</w:t>
      </w:r>
    </w:p>
    <w:p w14:paraId="74712AE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5.报价分统一采用低价优先法计算直接取得，与商务技术分相加为供应商的综合得分（四舍五入保留两位小数）。</w:t>
      </w:r>
    </w:p>
    <w:p w14:paraId="348847BF">
      <w:pPr>
        <w:spacing w:line="360" w:lineRule="auto"/>
        <w:ind w:firstLine="480"/>
        <w:rPr>
          <w:rFonts w:ascii="Times New Roman" w:hAnsi="Times New Roman"/>
          <w:b/>
          <w:color w:val="000000" w:themeColor="text1"/>
          <w:sz w:val="24"/>
          <w:szCs w:val="24"/>
          <w:highlight w:val="yellow"/>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6.磋商小组应当根据综合评分情况，按照评审得分由高到低顺序推荐3名成交候选供应商，</w:t>
      </w:r>
      <w:r>
        <w:rPr>
          <w:rFonts w:hint="eastAsia" w:ascii="Times New Roman" w:hAnsi="Times New Roman"/>
          <w:color w:val="000000" w:themeColor="text1"/>
          <w:sz w:val="24"/>
          <w:szCs w:val="24"/>
          <w14:textFill>
            <w14:solidFill>
              <w14:schemeClr w14:val="tx1"/>
            </w14:solidFill>
          </w14:textFill>
        </w:rPr>
        <w:t>并编写评审报告。</w:t>
      </w:r>
      <w:r>
        <w:rPr>
          <w:rFonts w:hint="eastAsia" w:ascii="Times New Roman" w:hAnsi="Times New Roman"/>
          <w:b/>
          <w:color w:val="000000" w:themeColor="text1"/>
          <w:sz w:val="24"/>
          <w:szCs w:val="24"/>
          <w14:textFill>
            <w14:solidFill>
              <w14:schemeClr w14:val="tx1"/>
            </w14:solidFill>
          </w14:textFill>
        </w:rPr>
        <w:t>采购人委托磋商小组直接确定成交供应商。</w:t>
      </w:r>
    </w:p>
    <w:p w14:paraId="6B35443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7.推荐成交候选人的特殊情况处理：</w:t>
      </w:r>
    </w:p>
    <w:p w14:paraId="4CAFFE4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（1）若总分相同，则按最终报价得分高者优先成交。</w:t>
      </w:r>
    </w:p>
    <w:p w14:paraId="69F486A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（2）若总分且最终报价得分相同，则由采购人代表采取现场抽签的方式确定（由供应商按递交响应文件签到顺序号抽签确定）。</w:t>
      </w:r>
    </w:p>
    <w:p w14:paraId="7F58A08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8.磋商评审时，评委对评审的细则若有争议，由磋商小组集体讨论确定，并对未尽情况有最终解释权。</w:t>
      </w:r>
    </w:p>
    <w:p w14:paraId="06140BB5">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四、综合评分评审标准</w:t>
      </w:r>
    </w:p>
    <w:p w14:paraId="262B9098">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（一）商务技术分：（80分）</w:t>
      </w:r>
    </w:p>
    <w:tbl>
      <w:tblPr>
        <w:tblStyle w:val="58"/>
        <w:tblW w:w="475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90"/>
        <w:gridCol w:w="1713"/>
        <w:gridCol w:w="820"/>
        <w:gridCol w:w="6106"/>
      </w:tblGrid>
      <w:tr w14:paraId="24624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tblHeader/>
          <w:jc w:val="center"/>
        </w:trPr>
        <w:tc>
          <w:tcPr>
            <w:tcW w:w="419" w:type="pct"/>
            <w:vAlign w:val="center"/>
          </w:tcPr>
          <w:p w14:paraId="2E51A254">
            <w:pPr>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908" w:type="pct"/>
            <w:vAlign w:val="center"/>
          </w:tcPr>
          <w:p w14:paraId="0CCD4257">
            <w:pPr>
              <w:jc w:val="center"/>
              <w:rPr>
                <w:rFonts w:hint="eastAsia" w:ascii="宋体" w:hAnsi="宋体" w:eastAsia="宋体" w:cs="宋体"/>
                <w:kern w:val="2"/>
                <w:sz w:val="24"/>
                <w:szCs w:val="24"/>
              </w:rPr>
            </w:pPr>
            <w:r>
              <w:rPr>
                <w:rFonts w:hint="eastAsia" w:ascii="宋体" w:hAnsi="宋体" w:eastAsia="宋体" w:cs="宋体"/>
                <w:kern w:val="2"/>
                <w:sz w:val="24"/>
                <w:szCs w:val="24"/>
              </w:rPr>
              <w:t>评分因素</w:t>
            </w:r>
          </w:p>
        </w:tc>
        <w:tc>
          <w:tcPr>
            <w:tcW w:w="435" w:type="pct"/>
            <w:vAlign w:val="center"/>
          </w:tcPr>
          <w:p w14:paraId="3976C492">
            <w:pPr>
              <w:jc w:val="center"/>
              <w:rPr>
                <w:rFonts w:hint="eastAsia" w:ascii="宋体" w:hAnsi="宋体" w:eastAsia="宋体" w:cs="宋体"/>
                <w:kern w:val="2"/>
                <w:sz w:val="24"/>
                <w:szCs w:val="24"/>
              </w:rPr>
            </w:pPr>
            <w:r>
              <w:rPr>
                <w:rFonts w:hint="eastAsia" w:ascii="宋体" w:hAnsi="宋体" w:eastAsia="宋体" w:cs="宋体"/>
                <w:kern w:val="2"/>
                <w:sz w:val="24"/>
                <w:szCs w:val="24"/>
              </w:rPr>
              <w:t>分值</w:t>
            </w:r>
          </w:p>
        </w:tc>
        <w:tc>
          <w:tcPr>
            <w:tcW w:w="3237" w:type="pct"/>
            <w:vAlign w:val="center"/>
          </w:tcPr>
          <w:p w14:paraId="1C5FDB06">
            <w:pPr>
              <w:jc w:val="center"/>
              <w:rPr>
                <w:rFonts w:hint="eastAsia" w:ascii="宋体" w:hAnsi="宋体" w:eastAsia="宋体" w:cs="宋体"/>
                <w:kern w:val="2"/>
                <w:sz w:val="24"/>
                <w:szCs w:val="24"/>
              </w:rPr>
            </w:pPr>
            <w:r>
              <w:rPr>
                <w:rFonts w:hint="eastAsia" w:ascii="宋体" w:hAnsi="宋体" w:eastAsia="宋体" w:cs="宋体"/>
                <w:kern w:val="2"/>
                <w:sz w:val="24"/>
                <w:szCs w:val="24"/>
              </w:rPr>
              <w:t>评分要求或标准</w:t>
            </w:r>
          </w:p>
        </w:tc>
      </w:tr>
      <w:tr w14:paraId="74C56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419" w:type="pct"/>
            <w:tcBorders>
              <w:bottom w:val="single" w:color="auto" w:sz="4" w:space="0"/>
            </w:tcBorders>
            <w:vAlign w:val="center"/>
          </w:tcPr>
          <w:p w14:paraId="0ECF141D">
            <w:pPr>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908" w:type="pct"/>
            <w:tcBorders>
              <w:bottom w:val="single" w:color="auto" w:sz="4" w:space="0"/>
            </w:tcBorders>
            <w:vAlign w:val="center"/>
          </w:tcPr>
          <w:p w14:paraId="39436165">
            <w:pPr>
              <w:jc w:val="center"/>
              <w:rPr>
                <w:rFonts w:hint="eastAsia" w:ascii="宋体" w:hAnsi="宋体" w:eastAsia="宋体" w:cs="宋体"/>
                <w:kern w:val="2"/>
                <w:sz w:val="24"/>
                <w:szCs w:val="24"/>
              </w:rPr>
            </w:pPr>
            <w:r>
              <w:rPr>
                <w:rFonts w:hint="eastAsia" w:ascii="宋体" w:hAnsi="宋体" w:eastAsia="宋体" w:cs="宋体"/>
                <w:kern w:val="2"/>
                <w:sz w:val="24"/>
                <w:szCs w:val="24"/>
              </w:rPr>
              <w:t>项目需求理解及工作思路</w:t>
            </w:r>
          </w:p>
        </w:tc>
        <w:tc>
          <w:tcPr>
            <w:tcW w:w="435" w:type="pct"/>
            <w:tcBorders>
              <w:bottom w:val="single" w:color="auto" w:sz="4" w:space="0"/>
            </w:tcBorders>
            <w:vAlign w:val="center"/>
          </w:tcPr>
          <w:p w14:paraId="68FC36C2">
            <w:pPr>
              <w:jc w:val="center"/>
              <w:rPr>
                <w:rFonts w:hint="eastAsia" w:ascii="宋体" w:hAnsi="宋体" w:eastAsia="宋体" w:cs="宋体"/>
                <w:kern w:val="2"/>
                <w:sz w:val="24"/>
                <w:szCs w:val="24"/>
              </w:rPr>
            </w:pPr>
            <w:r>
              <w:rPr>
                <w:rFonts w:hint="eastAsia" w:ascii="宋体" w:hAnsi="宋体" w:eastAsia="宋体" w:cs="宋体"/>
                <w:kern w:val="2"/>
                <w:sz w:val="24"/>
                <w:szCs w:val="24"/>
              </w:rPr>
              <w:t>10</w:t>
            </w:r>
          </w:p>
        </w:tc>
        <w:tc>
          <w:tcPr>
            <w:tcW w:w="3237" w:type="pct"/>
            <w:tcBorders>
              <w:bottom w:val="single" w:color="auto" w:sz="4" w:space="0"/>
            </w:tcBorders>
            <w:vAlign w:val="center"/>
          </w:tcPr>
          <w:p w14:paraId="1125DE14">
            <w:pPr>
              <w:rPr>
                <w:rFonts w:hint="eastAsia" w:ascii="宋体" w:hAnsi="宋体" w:eastAsia="宋体" w:cs="宋体"/>
                <w:kern w:val="2"/>
                <w:sz w:val="24"/>
                <w:szCs w:val="24"/>
              </w:rPr>
            </w:pPr>
            <w:r>
              <w:rPr>
                <w:rFonts w:hint="eastAsia" w:ascii="宋体" w:hAnsi="宋体" w:eastAsia="宋体" w:cs="宋体"/>
                <w:kern w:val="2"/>
                <w:sz w:val="24"/>
                <w:szCs w:val="24"/>
              </w:rPr>
              <w:t>供应商提供对本项目需求理解及工作思路，包含①对本项目工作背景的认识和需求理解；②调查与评估工作思路与原则。</w:t>
            </w:r>
          </w:p>
          <w:p w14:paraId="215E9686">
            <w:pPr>
              <w:rPr>
                <w:rFonts w:hint="eastAsia" w:ascii="宋体" w:hAnsi="宋体" w:eastAsia="宋体" w:cs="宋体"/>
                <w:kern w:val="2"/>
                <w:sz w:val="24"/>
                <w:szCs w:val="24"/>
              </w:rPr>
            </w:pPr>
            <w:r>
              <w:rPr>
                <w:rFonts w:hint="eastAsia" w:ascii="宋体" w:hAnsi="宋体" w:eastAsia="宋体" w:cs="宋体"/>
                <w:kern w:val="2"/>
                <w:sz w:val="24"/>
                <w:szCs w:val="24"/>
              </w:rPr>
              <w:t>针对以上2点，每点包含的要点齐全无缺漏项、内容与本项目相符、需求理解完善的得5分；每点内容包含的要点齐全、内容与要点相符，但仅有纲要内容简略，未科学合理展开阐述的得3分；每点内容包含的要点有缺漏的得1分；每点内容与本项目无关或未提供相关内容的不得分。</w:t>
            </w:r>
          </w:p>
        </w:tc>
      </w:tr>
      <w:tr w14:paraId="0DA0B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78" w:hRule="atLeast"/>
          <w:jc w:val="center"/>
        </w:trPr>
        <w:tc>
          <w:tcPr>
            <w:tcW w:w="419" w:type="pct"/>
            <w:tcBorders>
              <w:top w:val="single" w:color="auto" w:sz="4" w:space="0"/>
            </w:tcBorders>
            <w:vAlign w:val="center"/>
          </w:tcPr>
          <w:p w14:paraId="41C0FB43">
            <w:pPr>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908" w:type="pct"/>
            <w:tcBorders>
              <w:top w:val="single" w:color="auto" w:sz="4" w:space="0"/>
            </w:tcBorders>
            <w:vAlign w:val="center"/>
          </w:tcPr>
          <w:p w14:paraId="510DC3B7">
            <w:pPr>
              <w:jc w:val="center"/>
              <w:rPr>
                <w:rFonts w:hint="eastAsia" w:ascii="宋体" w:hAnsi="宋体" w:eastAsia="宋体" w:cs="宋体"/>
                <w:kern w:val="2"/>
                <w:sz w:val="24"/>
                <w:szCs w:val="24"/>
              </w:rPr>
            </w:pPr>
            <w:r>
              <w:rPr>
                <w:rFonts w:hint="eastAsia" w:ascii="宋体" w:hAnsi="宋体" w:eastAsia="宋体" w:cs="宋体"/>
                <w:kern w:val="2"/>
                <w:sz w:val="24"/>
                <w:szCs w:val="24"/>
              </w:rPr>
              <w:t>实施方案</w:t>
            </w:r>
          </w:p>
        </w:tc>
        <w:tc>
          <w:tcPr>
            <w:tcW w:w="435" w:type="pct"/>
            <w:tcBorders>
              <w:top w:val="single" w:color="auto" w:sz="4" w:space="0"/>
            </w:tcBorders>
            <w:vAlign w:val="center"/>
          </w:tcPr>
          <w:p w14:paraId="6AAB33DC">
            <w:pPr>
              <w:jc w:val="center"/>
              <w:rPr>
                <w:rFonts w:hint="eastAsia" w:ascii="宋体" w:hAnsi="宋体" w:eastAsia="宋体" w:cs="宋体"/>
                <w:kern w:val="2"/>
                <w:sz w:val="24"/>
                <w:szCs w:val="24"/>
              </w:rPr>
            </w:pPr>
            <w:r>
              <w:rPr>
                <w:rFonts w:hint="eastAsia" w:ascii="宋体" w:hAnsi="宋体" w:eastAsia="宋体" w:cs="宋体"/>
                <w:kern w:val="2"/>
                <w:sz w:val="24"/>
                <w:szCs w:val="24"/>
              </w:rPr>
              <w:t>20</w:t>
            </w:r>
          </w:p>
        </w:tc>
        <w:tc>
          <w:tcPr>
            <w:tcW w:w="3237" w:type="pct"/>
            <w:tcBorders>
              <w:top w:val="single" w:color="auto" w:sz="4" w:space="0"/>
            </w:tcBorders>
            <w:vAlign w:val="center"/>
          </w:tcPr>
          <w:p w14:paraId="448A74F6">
            <w:pPr>
              <w:rPr>
                <w:rFonts w:hint="eastAsia" w:ascii="宋体" w:hAnsi="宋体" w:eastAsia="宋体" w:cs="宋体"/>
                <w:kern w:val="2"/>
                <w:sz w:val="24"/>
                <w:szCs w:val="24"/>
              </w:rPr>
            </w:pPr>
            <w:r>
              <w:rPr>
                <w:rFonts w:hint="eastAsia" w:ascii="宋体" w:hAnsi="宋体" w:eastAsia="宋体" w:cs="宋体"/>
                <w:kern w:val="2"/>
                <w:sz w:val="24"/>
                <w:szCs w:val="24"/>
              </w:rPr>
              <w:t>供应商提供调查与评估工作实施方案，能够科学合理指导本项目实施。包含①技术方案；②工作进度、计划安排；③质量保障措施；④保密措施。</w:t>
            </w:r>
          </w:p>
          <w:p w14:paraId="27C51BF0">
            <w:pPr>
              <w:rPr>
                <w:rFonts w:hint="eastAsia" w:ascii="宋体" w:hAnsi="宋体" w:eastAsia="宋体" w:cs="宋体"/>
                <w:kern w:val="2"/>
                <w:sz w:val="24"/>
                <w:szCs w:val="24"/>
              </w:rPr>
            </w:pPr>
            <w:r>
              <w:rPr>
                <w:rFonts w:hint="eastAsia" w:ascii="宋体" w:hAnsi="宋体" w:eastAsia="宋体" w:cs="宋体"/>
                <w:kern w:val="2"/>
                <w:sz w:val="24"/>
                <w:szCs w:val="24"/>
              </w:rPr>
              <w:t>针对以上4点，每点包含的要点齐全无缺漏项、内容与本项目相符、需求理解完善的得5分；每点内容包含的要点齐全、内容与要点相符，但仅有纲要内容简略，未科学合理展开阐述的得3分；每点内容包含的要点有缺漏的得1分；每点内容与本项目无关或未提供相关内容的不得分。</w:t>
            </w:r>
          </w:p>
        </w:tc>
      </w:tr>
      <w:tr w14:paraId="6C88A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78" w:hRule="atLeast"/>
          <w:jc w:val="center"/>
        </w:trPr>
        <w:tc>
          <w:tcPr>
            <w:tcW w:w="419" w:type="pct"/>
            <w:tcBorders>
              <w:top w:val="single" w:color="auto" w:sz="4" w:space="0"/>
            </w:tcBorders>
            <w:vAlign w:val="center"/>
          </w:tcPr>
          <w:p w14:paraId="39DA4AD1">
            <w:pPr>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908" w:type="pct"/>
            <w:tcBorders>
              <w:top w:val="single" w:color="auto" w:sz="4" w:space="0"/>
            </w:tcBorders>
            <w:vAlign w:val="center"/>
          </w:tcPr>
          <w:p w14:paraId="1D577757">
            <w:pPr>
              <w:jc w:val="center"/>
              <w:rPr>
                <w:rFonts w:hint="eastAsia" w:ascii="宋体" w:hAnsi="宋体" w:eastAsia="宋体" w:cs="宋体"/>
                <w:kern w:val="2"/>
                <w:sz w:val="24"/>
                <w:szCs w:val="24"/>
              </w:rPr>
            </w:pPr>
            <w:r>
              <w:rPr>
                <w:rFonts w:hint="eastAsia" w:ascii="宋体" w:hAnsi="宋体" w:eastAsia="宋体" w:cs="宋体"/>
                <w:kern w:val="2"/>
                <w:sz w:val="24"/>
                <w:szCs w:val="24"/>
              </w:rPr>
              <w:t>供应商</w:t>
            </w:r>
          </w:p>
          <w:p w14:paraId="09B4847E">
            <w:pPr>
              <w:jc w:val="center"/>
              <w:rPr>
                <w:rFonts w:hint="eastAsia" w:ascii="宋体" w:hAnsi="宋体" w:eastAsia="宋体" w:cs="宋体"/>
                <w:kern w:val="2"/>
                <w:sz w:val="24"/>
                <w:szCs w:val="24"/>
              </w:rPr>
            </w:pPr>
            <w:r>
              <w:rPr>
                <w:rFonts w:hint="eastAsia" w:ascii="宋体" w:hAnsi="宋体" w:eastAsia="宋体" w:cs="宋体"/>
                <w:kern w:val="2"/>
                <w:sz w:val="24"/>
                <w:szCs w:val="24"/>
              </w:rPr>
              <w:t>实力</w:t>
            </w:r>
          </w:p>
        </w:tc>
        <w:tc>
          <w:tcPr>
            <w:tcW w:w="435" w:type="pct"/>
            <w:tcBorders>
              <w:top w:val="single" w:color="auto" w:sz="4" w:space="0"/>
            </w:tcBorders>
            <w:vAlign w:val="center"/>
          </w:tcPr>
          <w:p w14:paraId="1F806905">
            <w:pPr>
              <w:snapToGrid w:val="0"/>
              <w:spacing w:line="380" w:lineRule="exact"/>
              <w:jc w:val="center"/>
              <w:rPr>
                <w:rFonts w:hint="eastAsia" w:ascii="宋体" w:hAnsi="宋体" w:eastAsia="宋体" w:cs="宋体"/>
                <w:kern w:val="2"/>
                <w:sz w:val="24"/>
                <w:szCs w:val="24"/>
              </w:rPr>
            </w:pPr>
            <w:r>
              <w:rPr>
                <w:rFonts w:hint="eastAsia" w:ascii="宋体" w:hAnsi="宋体" w:eastAsia="宋体" w:cs="宋体"/>
                <w:sz w:val="20"/>
              </w:rPr>
              <w:t>1</w:t>
            </w:r>
            <w:r>
              <w:rPr>
                <w:rFonts w:hint="eastAsia" w:ascii="宋体" w:hAnsi="宋体" w:eastAsia="宋体" w:cs="宋体"/>
                <w:kern w:val="2"/>
                <w:sz w:val="24"/>
                <w:szCs w:val="24"/>
              </w:rPr>
              <w:t>5</w:t>
            </w:r>
          </w:p>
        </w:tc>
        <w:tc>
          <w:tcPr>
            <w:tcW w:w="3237" w:type="pct"/>
            <w:tcBorders>
              <w:top w:val="single" w:color="auto" w:sz="4" w:space="0"/>
            </w:tcBorders>
            <w:vAlign w:val="center"/>
          </w:tcPr>
          <w:p w14:paraId="3A9FC10F">
            <w:pPr>
              <w:rPr>
                <w:rFonts w:hint="eastAsia" w:ascii="宋体" w:hAnsi="宋体" w:eastAsia="宋体" w:cs="宋体"/>
                <w:kern w:val="2"/>
                <w:sz w:val="24"/>
                <w:szCs w:val="24"/>
              </w:rPr>
            </w:pPr>
            <w:r>
              <w:rPr>
                <w:rFonts w:hint="eastAsia" w:ascii="宋体" w:hAnsi="宋体" w:eastAsia="宋体" w:cs="宋体"/>
                <w:kern w:val="2"/>
                <w:sz w:val="24"/>
                <w:szCs w:val="24"/>
              </w:rPr>
              <w:t>（1）供应商通过质量管理体系认证、环境管理体系认证、职业健康安全管理体系认证的，有1项得2分，本项满分6分；</w:t>
            </w:r>
          </w:p>
          <w:p w14:paraId="303C1888">
            <w:pPr>
              <w:rPr>
                <w:rFonts w:hint="eastAsia" w:ascii="宋体" w:hAnsi="宋体" w:eastAsia="宋体" w:cs="宋体"/>
                <w:kern w:val="2"/>
                <w:sz w:val="24"/>
                <w:szCs w:val="24"/>
              </w:rPr>
            </w:pPr>
            <w:r>
              <w:rPr>
                <w:rFonts w:hint="eastAsia" w:ascii="宋体" w:hAnsi="宋体" w:eastAsia="宋体" w:cs="宋体"/>
                <w:kern w:val="2"/>
                <w:sz w:val="24"/>
                <w:szCs w:val="24"/>
              </w:rPr>
              <w:t>（2）供应商具有CMA检验检测资质认定证书的，得4分；</w:t>
            </w:r>
          </w:p>
          <w:p w14:paraId="7812D13F">
            <w:pPr>
              <w:rPr>
                <w:rFonts w:hint="eastAsia" w:ascii="宋体" w:hAnsi="宋体" w:eastAsia="宋体" w:cs="宋体"/>
                <w:kern w:val="2"/>
                <w:sz w:val="24"/>
                <w:szCs w:val="24"/>
              </w:rPr>
            </w:pPr>
            <w:r>
              <w:rPr>
                <w:rFonts w:hint="eastAsia" w:ascii="宋体" w:hAnsi="宋体" w:eastAsia="宋体" w:cs="宋体"/>
                <w:kern w:val="2"/>
                <w:sz w:val="24"/>
                <w:szCs w:val="24"/>
              </w:rPr>
              <w:t>（3）供应商具有部级及以上重点实验室的，得5分；具有省级重点实验室的，得3分；具有市级重点实验室的，得1分。</w:t>
            </w:r>
          </w:p>
          <w:p w14:paraId="03B79D2C">
            <w:pPr>
              <w:rPr>
                <w:rFonts w:hint="eastAsia" w:ascii="宋体" w:hAnsi="宋体" w:eastAsia="宋体" w:cs="宋体"/>
                <w:kern w:val="2"/>
                <w:sz w:val="24"/>
                <w:szCs w:val="24"/>
              </w:rPr>
            </w:pPr>
            <w:r>
              <w:rPr>
                <w:rFonts w:hint="eastAsia" w:ascii="宋体" w:hAnsi="宋体" w:eastAsia="宋体" w:cs="宋体"/>
                <w:b/>
                <w:bCs/>
                <w:kern w:val="2"/>
                <w:sz w:val="24"/>
                <w:szCs w:val="24"/>
              </w:rPr>
              <w:t>注：提供涉及的有效相关证书或证明材料复印件并加盖供应商公章。</w:t>
            </w:r>
          </w:p>
        </w:tc>
      </w:tr>
      <w:tr w14:paraId="32ECF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3" w:hRule="atLeast"/>
          <w:jc w:val="center"/>
        </w:trPr>
        <w:tc>
          <w:tcPr>
            <w:tcW w:w="419" w:type="pct"/>
            <w:tcBorders>
              <w:top w:val="single" w:color="auto" w:sz="4" w:space="0"/>
            </w:tcBorders>
            <w:vAlign w:val="center"/>
          </w:tcPr>
          <w:p w14:paraId="10450313">
            <w:pPr>
              <w:jc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908" w:type="pct"/>
            <w:tcBorders>
              <w:top w:val="single" w:color="auto" w:sz="4" w:space="0"/>
            </w:tcBorders>
            <w:vAlign w:val="center"/>
          </w:tcPr>
          <w:p w14:paraId="740A3A33">
            <w:pPr>
              <w:jc w:val="center"/>
              <w:rPr>
                <w:rFonts w:hint="eastAsia" w:ascii="宋体" w:hAnsi="宋体" w:eastAsia="宋体" w:cs="宋体"/>
                <w:kern w:val="2"/>
                <w:sz w:val="24"/>
                <w:szCs w:val="24"/>
              </w:rPr>
            </w:pPr>
            <w:r>
              <w:rPr>
                <w:rFonts w:hint="eastAsia" w:ascii="宋体" w:hAnsi="宋体" w:eastAsia="宋体" w:cs="宋体"/>
                <w:kern w:val="2"/>
                <w:sz w:val="24"/>
                <w:szCs w:val="24"/>
              </w:rPr>
              <w:t>拟派人员</w:t>
            </w:r>
          </w:p>
        </w:tc>
        <w:tc>
          <w:tcPr>
            <w:tcW w:w="435" w:type="pct"/>
            <w:tcBorders>
              <w:top w:val="single" w:color="auto" w:sz="4" w:space="0"/>
            </w:tcBorders>
            <w:vAlign w:val="center"/>
          </w:tcPr>
          <w:p w14:paraId="69008572">
            <w:pPr>
              <w:jc w:val="center"/>
              <w:rPr>
                <w:rFonts w:hint="eastAsia" w:ascii="宋体" w:hAnsi="宋体" w:eastAsia="宋体" w:cs="宋体"/>
                <w:kern w:val="2"/>
                <w:sz w:val="24"/>
                <w:szCs w:val="24"/>
              </w:rPr>
            </w:pPr>
            <w:r>
              <w:rPr>
                <w:rFonts w:hint="eastAsia" w:ascii="宋体" w:hAnsi="宋体" w:eastAsia="宋体" w:cs="宋体"/>
                <w:kern w:val="2"/>
                <w:sz w:val="24"/>
                <w:szCs w:val="24"/>
              </w:rPr>
              <w:t>15</w:t>
            </w:r>
          </w:p>
        </w:tc>
        <w:tc>
          <w:tcPr>
            <w:tcW w:w="3237" w:type="pct"/>
            <w:tcBorders>
              <w:top w:val="single" w:color="auto" w:sz="4" w:space="0"/>
            </w:tcBorders>
            <w:vAlign w:val="center"/>
          </w:tcPr>
          <w:p w14:paraId="3EA8F995">
            <w:pPr>
              <w:shd w:val="clear"/>
              <w:rPr>
                <w:rFonts w:hint="eastAsia" w:ascii="宋体" w:hAnsi="宋体" w:eastAsia="宋体" w:cs="宋体"/>
                <w:kern w:val="2"/>
                <w:sz w:val="24"/>
                <w:szCs w:val="24"/>
              </w:rPr>
            </w:pPr>
            <w:r>
              <w:rPr>
                <w:rFonts w:hint="eastAsia" w:ascii="宋体" w:hAnsi="宋体" w:eastAsia="宋体" w:cs="宋体"/>
                <w:kern w:val="2"/>
                <w:sz w:val="24"/>
                <w:szCs w:val="24"/>
              </w:rPr>
              <w:t>（1）项目负责人具有环境保护类专业正高级工程师职称的，得3分。</w:t>
            </w:r>
          </w:p>
          <w:p w14:paraId="681D95A1">
            <w:pPr>
              <w:shd w:val="clear"/>
              <w:rPr>
                <w:rFonts w:hint="default"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rPr>
              <w:t>（2）</w:t>
            </w:r>
            <w:r>
              <w:rPr>
                <w:rFonts w:hint="eastAsia" w:ascii="宋体" w:hAnsi="宋体" w:cs="宋体"/>
                <w:b w:val="0"/>
                <w:bCs w:val="0"/>
                <w:kern w:val="2"/>
                <w:sz w:val="24"/>
                <w:szCs w:val="24"/>
                <w:lang w:val="en-US" w:eastAsia="zh-CN"/>
              </w:rPr>
              <w:t>项目组成员（不含项目负责人）</w:t>
            </w:r>
          </w:p>
          <w:p w14:paraId="539DC28F">
            <w:pPr>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其中具有副高级工程师及以上职称人员的，或具有注册环保工程师证书的，每有1人得1分，本项最高得6分。（同1人具有多个证书的只记1分，不重复计分。</w:t>
            </w:r>
          </w:p>
          <w:p w14:paraId="23BA773C">
            <w:pPr>
              <w:rPr>
                <w:rFonts w:hint="eastAsia" w:ascii="宋体" w:hAnsi="宋体" w:eastAsia="宋体" w:cs="宋体"/>
                <w:kern w:val="2"/>
                <w:sz w:val="24"/>
                <w:szCs w:val="24"/>
              </w:rPr>
            </w:pPr>
            <w:r>
              <w:rPr>
                <w:rFonts w:hint="eastAsia" w:ascii="宋体" w:hAnsi="宋体" w:eastAsia="宋体" w:cs="宋体"/>
                <w:kern w:val="2"/>
                <w:sz w:val="24"/>
                <w:szCs w:val="24"/>
              </w:rPr>
              <w:t>（3）项目负责人或项目组成员获得过省级或以上行政部门颁发的环保类科研奖项的，每项得2分，获得过市级行政部门颁发的环保类科研</w:t>
            </w:r>
            <w:r>
              <w:rPr>
                <w:rFonts w:hint="eastAsia" w:ascii="宋体" w:hAnsi="宋体" w:eastAsia="宋体" w:cs="宋体"/>
                <w:kern w:val="2"/>
                <w:sz w:val="24"/>
                <w:szCs w:val="24"/>
                <w:highlight w:val="none"/>
              </w:rPr>
              <w:t>奖项的，</w:t>
            </w:r>
            <w:r>
              <w:rPr>
                <w:rFonts w:hint="eastAsia" w:ascii="宋体" w:hAnsi="宋体" w:eastAsia="宋体" w:cs="宋体"/>
                <w:kern w:val="2"/>
                <w:sz w:val="24"/>
                <w:szCs w:val="24"/>
              </w:rPr>
              <w:t>每项得1分，本项最高得6分。</w:t>
            </w:r>
          </w:p>
          <w:p w14:paraId="462ABD17">
            <w:pPr>
              <w:snapToGrid w:val="0"/>
              <w:spacing w:line="380" w:lineRule="exac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rPr>
              <w:t>注</w:t>
            </w:r>
            <w:r>
              <w:rPr>
                <w:rFonts w:hint="eastAsia" w:ascii="宋体" w:hAnsi="宋体" w:eastAsia="宋体" w:cs="宋体"/>
                <w:b/>
                <w:bCs/>
                <w:kern w:val="2"/>
                <w:sz w:val="24"/>
                <w:szCs w:val="24"/>
                <w:lang w:eastAsia="zh-CN"/>
              </w:rPr>
              <w:t>：</w:t>
            </w:r>
            <w:r>
              <w:rPr>
                <w:rFonts w:hint="eastAsia" w:ascii="宋体" w:hAnsi="宋体" w:cs="宋体"/>
                <w:b/>
                <w:bCs/>
                <w:kern w:val="2"/>
                <w:sz w:val="24"/>
                <w:szCs w:val="24"/>
                <w:lang w:val="en-US" w:eastAsia="zh-CN"/>
              </w:rPr>
              <w:t>1.供应商提供上述人员名单。其中</w:t>
            </w:r>
            <w:r>
              <w:rPr>
                <w:rFonts w:hint="eastAsia" w:ascii="宋体" w:hAnsi="宋体" w:eastAsia="宋体" w:cs="宋体"/>
                <w:b/>
                <w:bCs/>
                <w:kern w:val="2"/>
                <w:sz w:val="24"/>
                <w:szCs w:val="24"/>
                <w:lang w:eastAsia="zh-CN"/>
              </w:rPr>
              <w:t>项目组成员（不含项目负责人）</w:t>
            </w:r>
            <w:r>
              <w:rPr>
                <w:rFonts w:hint="eastAsia" w:ascii="宋体" w:hAnsi="宋体" w:cs="宋体"/>
                <w:b/>
                <w:bCs/>
                <w:kern w:val="2"/>
                <w:sz w:val="24"/>
                <w:szCs w:val="24"/>
                <w:lang w:val="en-US" w:eastAsia="zh-CN"/>
              </w:rPr>
              <w:t>需</w:t>
            </w:r>
            <w:r>
              <w:rPr>
                <w:rFonts w:hint="eastAsia" w:ascii="宋体" w:hAnsi="宋体" w:eastAsia="宋体" w:cs="宋体"/>
                <w:b/>
                <w:bCs/>
                <w:kern w:val="2"/>
                <w:sz w:val="24"/>
                <w:szCs w:val="24"/>
                <w:lang w:eastAsia="zh-CN"/>
              </w:rPr>
              <w:t>不少于6人，</w:t>
            </w:r>
            <w:r>
              <w:rPr>
                <w:rFonts w:hint="eastAsia" w:ascii="宋体" w:hAnsi="宋体" w:cs="宋体"/>
                <w:b/>
                <w:bCs/>
                <w:kern w:val="2"/>
                <w:sz w:val="24"/>
                <w:szCs w:val="24"/>
                <w:lang w:val="en-US" w:eastAsia="zh-CN"/>
              </w:rPr>
              <w:t>提供的</w:t>
            </w:r>
            <w:r>
              <w:rPr>
                <w:rFonts w:hint="eastAsia" w:ascii="宋体" w:hAnsi="宋体" w:eastAsia="宋体" w:cs="宋体"/>
                <w:b/>
                <w:bCs/>
                <w:kern w:val="2"/>
                <w:sz w:val="24"/>
                <w:szCs w:val="24"/>
                <w:lang w:eastAsia="zh-CN"/>
              </w:rPr>
              <w:t>成员少于6人的，</w:t>
            </w:r>
            <w:r>
              <w:rPr>
                <w:rFonts w:hint="eastAsia" w:ascii="宋体" w:hAnsi="宋体" w:cs="宋体"/>
                <w:b/>
                <w:bCs/>
                <w:kern w:val="2"/>
                <w:sz w:val="24"/>
                <w:szCs w:val="24"/>
                <w:lang w:val="en-US" w:eastAsia="zh-CN"/>
              </w:rPr>
              <w:t>上述针对项目组成员评分点的均不得分</w:t>
            </w:r>
            <w:r>
              <w:rPr>
                <w:rFonts w:hint="eastAsia" w:ascii="宋体" w:hAnsi="宋体" w:eastAsia="宋体" w:cs="宋体"/>
                <w:b/>
                <w:bCs/>
                <w:kern w:val="2"/>
                <w:sz w:val="24"/>
                <w:szCs w:val="24"/>
                <w:lang w:eastAsia="zh-CN"/>
              </w:rPr>
              <w:t>。</w:t>
            </w:r>
          </w:p>
          <w:p w14:paraId="5DD4628A">
            <w:pPr>
              <w:snapToGrid w:val="0"/>
              <w:spacing w:line="380" w:lineRule="exact"/>
              <w:rPr>
                <w:rFonts w:hint="eastAsia" w:ascii="宋体" w:hAnsi="宋体" w:eastAsia="宋体" w:cs="宋体"/>
                <w:kern w:val="2"/>
                <w:sz w:val="24"/>
                <w:szCs w:val="24"/>
              </w:rPr>
            </w:pPr>
            <w:r>
              <w:rPr>
                <w:rFonts w:hint="eastAsia" w:ascii="宋体" w:hAnsi="宋体" w:cs="宋体"/>
                <w:b/>
                <w:bCs/>
                <w:kern w:val="2"/>
                <w:sz w:val="24"/>
                <w:szCs w:val="24"/>
                <w:lang w:val="en-US" w:eastAsia="zh-CN"/>
              </w:rPr>
              <w:t>2.</w:t>
            </w:r>
            <w:r>
              <w:rPr>
                <w:rFonts w:hint="eastAsia" w:ascii="宋体" w:hAnsi="宋体" w:eastAsia="宋体" w:cs="宋体"/>
                <w:b/>
                <w:bCs/>
                <w:kern w:val="2"/>
                <w:sz w:val="24"/>
                <w:szCs w:val="24"/>
              </w:rPr>
              <w:t>提供</w:t>
            </w:r>
            <w:r>
              <w:rPr>
                <w:rFonts w:hint="eastAsia" w:ascii="宋体" w:hAnsi="宋体" w:cs="宋体"/>
                <w:b/>
                <w:bCs/>
                <w:kern w:val="2"/>
                <w:sz w:val="24"/>
                <w:szCs w:val="24"/>
                <w:lang w:val="en-US" w:eastAsia="zh-CN"/>
              </w:rPr>
              <w:t>上述</w:t>
            </w:r>
            <w:r>
              <w:rPr>
                <w:rFonts w:hint="eastAsia" w:ascii="宋体" w:hAnsi="宋体" w:eastAsia="宋体" w:cs="宋体"/>
                <w:b/>
                <w:bCs/>
                <w:kern w:val="2"/>
                <w:sz w:val="24"/>
                <w:szCs w:val="24"/>
              </w:rPr>
              <w:t>拟派人员证书复印件，奖项证明材料复印件，并提供供应商自2025年6月以来为其缴纳</w:t>
            </w:r>
            <w:r>
              <w:rPr>
                <w:rFonts w:hint="eastAsia" w:ascii="宋体" w:hAnsi="宋体" w:cs="宋体"/>
                <w:b/>
                <w:bCs/>
                <w:kern w:val="2"/>
                <w:sz w:val="24"/>
                <w:szCs w:val="24"/>
                <w:lang w:eastAsia="zh-CN"/>
              </w:rPr>
              <w:t>的</w:t>
            </w:r>
            <w:r>
              <w:rPr>
                <w:rFonts w:hint="eastAsia" w:ascii="宋体" w:hAnsi="宋体" w:eastAsia="宋体" w:cs="宋体"/>
                <w:b/>
                <w:bCs/>
                <w:kern w:val="2"/>
                <w:sz w:val="24"/>
                <w:szCs w:val="24"/>
              </w:rPr>
              <w:t>任意一个月社会保险证明</w:t>
            </w:r>
            <w:r>
              <w:rPr>
                <w:rFonts w:hint="eastAsia" w:ascii="宋体" w:hAnsi="宋体" w:cs="宋体"/>
                <w:b/>
                <w:bCs/>
                <w:kern w:val="2"/>
                <w:sz w:val="24"/>
                <w:szCs w:val="24"/>
                <w:lang w:val="en-US" w:eastAsia="zh-CN"/>
              </w:rPr>
              <w:t>材料</w:t>
            </w:r>
            <w:r>
              <w:rPr>
                <w:rFonts w:hint="eastAsia" w:ascii="宋体" w:hAnsi="宋体" w:eastAsia="宋体" w:cs="宋体"/>
                <w:b/>
                <w:bCs/>
                <w:kern w:val="2"/>
                <w:sz w:val="24"/>
                <w:szCs w:val="24"/>
              </w:rPr>
              <w:t>。</w:t>
            </w:r>
          </w:p>
        </w:tc>
      </w:tr>
      <w:tr w14:paraId="7EA62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419" w:type="pct"/>
            <w:vAlign w:val="center"/>
          </w:tcPr>
          <w:p w14:paraId="381BE37D">
            <w:pPr>
              <w:jc w:val="center"/>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908" w:type="pct"/>
            <w:vAlign w:val="center"/>
          </w:tcPr>
          <w:p w14:paraId="23559106">
            <w:pPr>
              <w:jc w:val="left"/>
              <w:rPr>
                <w:rFonts w:hint="eastAsia" w:ascii="宋体" w:hAnsi="宋体" w:eastAsia="宋体" w:cs="宋体"/>
                <w:kern w:val="2"/>
                <w:sz w:val="24"/>
                <w:szCs w:val="24"/>
              </w:rPr>
            </w:pPr>
            <w:r>
              <w:rPr>
                <w:rFonts w:hint="eastAsia" w:ascii="宋体" w:hAnsi="宋体" w:eastAsia="宋体" w:cs="宋体"/>
                <w:kern w:val="2"/>
                <w:sz w:val="24"/>
                <w:szCs w:val="24"/>
              </w:rPr>
              <w:t>工作业绩</w:t>
            </w:r>
          </w:p>
        </w:tc>
        <w:tc>
          <w:tcPr>
            <w:tcW w:w="435" w:type="pct"/>
            <w:vAlign w:val="center"/>
          </w:tcPr>
          <w:p w14:paraId="24A95E69">
            <w:pPr>
              <w:jc w:val="center"/>
              <w:rPr>
                <w:rFonts w:hint="eastAsia" w:ascii="宋体" w:hAnsi="宋体" w:eastAsia="宋体" w:cs="宋体"/>
                <w:kern w:val="2"/>
                <w:sz w:val="24"/>
                <w:szCs w:val="24"/>
              </w:rPr>
            </w:pPr>
            <w:r>
              <w:rPr>
                <w:rFonts w:hint="eastAsia" w:ascii="宋体" w:hAnsi="宋体" w:eastAsia="宋体" w:cs="宋体"/>
                <w:kern w:val="2"/>
                <w:sz w:val="24"/>
                <w:szCs w:val="24"/>
              </w:rPr>
              <w:t>20</w:t>
            </w:r>
          </w:p>
        </w:tc>
        <w:tc>
          <w:tcPr>
            <w:tcW w:w="3237" w:type="pct"/>
            <w:vAlign w:val="center"/>
          </w:tcPr>
          <w:p w14:paraId="32D2220D">
            <w:pPr>
              <w:jc w:val="left"/>
              <w:rPr>
                <w:rFonts w:hint="eastAsia" w:ascii="宋体" w:hAnsi="宋体" w:eastAsia="宋体" w:cs="宋体"/>
                <w:kern w:val="2"/>
                <w:sz w:val="24"/>
                <w:szCs w:val="24"/>
              </w:rPr>
            </w:pPr>
            <w:r>
              <w:rPr>
                <w:rFonts w:hint="eastAsia" w:ascii="宋体" w:hAnsi="宋体" w:eastAsia="宋体" w:cs="宋体"/>
                <w:kern w:val="2"/>
                <w:sz w:val="24"/>
                <w:szCs w:val="24"/>
              </w:rPr>
              <w:t>（1）供应商自2022年1月1日（含）以来，承担过近岸海域水质提升相关的工作计划或实施评估业绩的，省级或以上每项得3分，市级每项得1分，最高得12分。</w:t>
            </w:r>
          </w:p>
          <w:p w14:paraId="465D6536">
            <w:pPr>
              <w:jc w:val="left"/>
              <w:rPr>
                <w:rFonts w:hint="eastAsia" w:ascii="宋体" w:hAnsi="宋体" w:eastAsia="宋体" w:cs="宋体"/>
                <w:kern w:val="2"/>
                <w:sz w:val="24"/>
                <w:szCs w:val="24"/>
              </w:rPr>
            </w:pPr>
            <w:r>
              <w:rPr>
                <w:rFonts w:hint="eastAsia" w:ascii="宋体" w:hAnsi="宋体" w:eastAsia="宋体" w:cs="宋体"/>
                <w:kern w:val="2"/>
                <w:sz w:val="24"/>
                <w:szCs w:val="24"/>
              </w:rPr>
              <w:t>（2）供应商自2022年1月1日（含）以来，承担过海域污染物跟踪溯源或调查业绩的，省级或以上每项得2分，市级每项得1分，最高得4分。</w:t>
            </w:r>
          </w:p>
          <w:p w14:paraId="5BB9531C">
            <w:pPr>
              <w:jc w:val="left"/>
              <w:rPr>
                <w:rFonts w:hint="eastAsia" w:ascii="宋体" w:hAnsi="宋体" w:eastAsia="宋体" w:cs="宋体"/>
                <w:kern w:val="2"/>
                <w:sz w:val="24"/>
                <w:szCs w:val="24"/>
              </w:rPr>
            </w:pPr>
            <w:r>
              <w:rPr>
                <w:rFonts w:hint="eastAsia" w:ascii="宋体" w:hAnsi="宋体" w:eastAsia="宋体" w:cs="宋体"/>
                <w:kern w:val="2"/>
                <w:sz w:val="24"/>
                <w:szCs w:val="24"/>
              </w:rPr>
              <w:t>（3）供应商自2022年1月1日（含）以来，承担过入海河流总氮溯源或水质监测业绩的，省级或以上每项得2分，市级每项得1分，最高得4分。</w:t>
            </w:r>
          </w:p>
          <w:p w14:paraId="4A250E19">
            <w:pPr>
              <w:jc w:val="left"/>
              <w:rPr>
                <w:rFonts w:hint="eastAsia" w:ascii="宋体" w:hAnsi="宋体" w:eastAsia="宋体" w:cs="宋体"/>
                <w:kern w:val="2"/>
                <w:sz w:val="24"/>
                <w:szCs w:val="24"/>
              </w:rPr>
            </w:pPr>
            <w:r>
              <w:rPr>
                <w:rFonts w:hint="eastAsia" w:ascii="宋体" w:hAnsi="宋体" w:eastAsia="宋体" w:cs="宋体"/>
                <w:b/>
                <w:bCs/>
                <w:kern w:val="2"/>
                <w:sz w:val="24"/>
                <w:szCs w:val="24"/>
              </w:rPr>
              <w:t>注：需提供相关</w:t>
            </w:r>
            <w:r>
              <w:rPr>
                <w:rFonts w:hint="eastAsia" w:ascii="宋体" w:hAnsi="宋体" w:eastAsia="宋体" w:cs="宋体"/>
                <w:b/>
                <w:bCs/>
                <w:kern w:val="2"/>
                <w:sz w:val="24"/>
                <w:szCs w:val="24"/>
                <w:lang w:val="en-US" w:eastAsia="zh-CN"/>
              </w:rPr>
              <w:t>有效</w:t>
            </w:r>
            <w:r>
              <w:rPr>
                <w:rFonts w:hint="eastAsia" w:ascii="宋体" w:hAnsi="宋体" w:eastAsia="宋体" w:cs="宋体"/>
                <w:b/>
                <w:bCs/>
                <w:kern w:val="2"/>
                <w:sz w:val="24"/>
                <w:szCs w:val="24"/>
              </w:rPr>
              <w:t>合同复印件（以合同签订时间为准）。</w:t>
            </w:r>
          </w:p>
        </w:tc>
      </w:tr>
    </w:tbl>
    <w:p w14:paraId="2C73569F">
      <w:pPr>
        <w:pStyle w:val="53"/>
        <w:widowControl/>
        <w:shd w:val="clear" w:color="auto" w:fill="FFFFFF"/>
        <w:spacing w:before="0" w:beforeAutospacing="0" w:after="0" w:afterAutospacing="0" w:line="360" w:lineRule="auto"/>
        <w:jc w:val="both"/>
        <w:rPr>
          <w:rFonts w:ascii="Times New Roman" w:hAnsi="Times New Roman" w:cs="宋体"/>
          <w:b/>
          <w:color w:val="000000" w:themeColor="text1"/>
          <w:szCs w:val="24"/>
          <w:lang w:eastAsia="zh-CN"/>
          <w14:textFill>
            <w14:solidFill>
              <w14:schemeClr w14:val="tx1"/>
            </w14:solidFill>
          </w14:textFill>
        </w:rPr>
      </w:pPr>
    </w:p>
    <w:p w14:paraId="775B2A5F">
      <w:pPr>
        <w:pStyle w:val="53"/>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color w:val="000000" w:themeColor="text1"/>
          <w:szCs w:val="24"/>
          <w:lang w:eastAsia="zh-CN"/>
          <w14:textFill>
            <w14:solidFill>
              <w14:schemeClr w14:val="tx1"/>
            </w14:solidFill>
          </w14:textFill>
        </w:rPr>
        <w:t>注：以上所提供材料必须真实可靠，伪造证书证件、伪造合同等一切弄虚作假行为，一经发现和查实，采购方有权取消成交资格或终止合同，并追究供应商经济和法律责任，同时上报有关部门列入诚信黑名单。</w:t>
      </w:r>
    </w:p>
    <w:p w14:paraId="7F758468">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（二）报价分：（20分）</w:t>
      </w:r>
    </w:p>
    <w:p w14:paraId="5A657A6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1.本次项目最高限价：人民币60万元，超过限价作无效响应处理。</w:t>
      </w:r>
    </w:p>
    <w:p w14:paraId="0215753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2.满足磋商文件要求且最后报价最低的供应商的价格为磋商基准价，其商务报价分为满分20分。其他供应商的商务报价分统一按照下列公式计算：</w:t>
      </w:r>
    </w:p>
    <w:p w14:paraId="0C3DC659">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报价分=（磋商基准价/最后磋商报价）×20%×100</w:t>
      </w:r>
    </w:p>
    <w:p w14:paraId="38EF0D3E">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（小数点保留两位，小数点第三位四舍五入计取）</w:t>
      </w:r>
    </w:p>
    <w:p w14:paraId="21EB9D9A">
      <w:pPr>
        <w:pStyle w:val="53"/>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总得分</w:t>
      </w:r>
      <w:r>
        <w:rPr>
          <w:rFonts w:hint="eastAsia" w:ascii="Times New Roman" w:hAnsi="Times New Roman" w:cs="宋体"/>
          <w:b/>
          <w:color w:val="000000" w:themeColor="text1"/>
          <w:szCs w:val="24"/>
          <w:lang w:eastAsia="zh-CN"/>
          <w14:textFill>
            <w14:solidFill>
              <w14:schemeClr w14:val="tx1"/>
            </w14:solidFill>
          </w14:textFill>
        </w:rPr>
        <w:t>=商务技术分+报价分， 总得分最高者推荐为第一成交候选人。</w:t>
      </w:r>
    </w:p>
    <w:p w14:paraId="42681710">
      <w:pPr>
        <w:pStyle w:val="53"/>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color w:val="000000" w:themeColor="text1"/>
          <w:szCs w:val="24"/>
          <w:lang w:eastAsia="zh-CN"/>
          <w14:textFill>
            <w14:solidFill>
              <w14:schemeClr w14:val="tx1"/>
            </w14:solidFill>
          </w14:textFill>
        </w:rPr>
        <w:t xml:space="preserve"> 五、政府采购政策功能落实</w:t>
      </w:r>
    </w:p>
    <w:p w14:paraId="45DBC3E1">
      <w:pPr>
        <w:pStyle w:val="53"/>
        <w:widowControl/>
        <w:shd w:val="clear" w:color="auto" w:fill="FFFFFF"/>
        <w:spacing w:before="0" w:beforeAutospacing="0" w:after="0" w:afterAutospacing="0" w:line="360" w:lineRule="auto"/>
        <w:ind w:firstLine="482"/>
        <w:jc w:val="both"/>
        <w:rPr>
          <w:rFonts w:ascii="Times New Roman" w:hAnsi="Times New Roman" w:cs="宋体"/>
          <w:bCs/>
          <w:color w:val="000000" w:themeColor="text1"/>
          <w:szCs w:val="24"/>
          <w:lang w:eastAsia="zh-CN"/>
          <w14:textFill>
            <w14:solidFill>
              <w14:schemeClr w14:val="tx1"/>
            </w14:solidFill>
          </w14:textFill>
        </w:rPr>
      </w:pPr>
      <w:r>
        <w:rPr>
          <w:rFonts w:hint="eastAsia" w:ascii="Times New Roman" w:hAnsi="Times New Roman" w:cs="宋体"/>
          <w:bCs/>
          <w:color w:val="000000" w:themeColor="text1"/>
          <w:szCs w:val="24"/>
          <w:lang w:eastAsia="zh-CN"/>
          <w14:textFill>
            <w14:solidFill>
              <w14:schemeClr w14:val="tx1"/>
            </w14:solidFill>
          </w14:textFill>
        </w:rPr>
        <w:t xml:space="preserve">专门面向中小企业采购的项目或者采购包，不再执行价格评审优惠的扶持政策。 </w:t>
      </w:r>
    </w:p>
    <w:p w14:paraId="4596E30B">
      <w:pPr>
        <w:snapToGrid w:val="0"/>
        <w:spacing w:line="360" w:lineRule="auto"/>
        <w:ind w:firstLine="482" w:firstLineChars="200"/>
        <w:rPr>
          <w:rFonts w:hint="eastAsia" w:ascii="宋体" w:hAnsi="宋体"/>
          <w:b/>
          <w:sz w:val="24"/>
          <w:szCs w:val="24"/>
        </w:rPr>
      </w:pPr>
      <w:r>
        <w:rPr>
          <w:rFonts w:hint="eastAsia" w:ascii="宋体" w:hAnsi="宋体"/>
          <w:b/>
          <w:sz w:val="24"/>
          <w:szCs w:val="24"/>
        </w:rPr>
        <w:t>六、出现下列情形之一的，磋商小组应当启动异常低价投标审查程序：</w:t>
      </w:r>
    </w:p>
    <w:p w14:paraId="17CC4A5E">
      <w:pPr>
        <w:pStyle w:val="53"/>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1.响应报价低于全部通过符合性审查供应商响应报价平均值50%的，即响应报价&lt;全部通过符合性审查供应商响应报价平均值×50%；</w:t>
      </w:r>
    </w:p>
    <w:p w14:paraId="3DA235CF">
      <w:pPr>
        <w:pStyle w:val="53"/>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2.响应报价低于通过符合性审查的次低报价供应商响应报价50%的，即响应报价&lt;通过符合性审查的次低报价供应商响应报价×50%；</w:t>
      </w:r>
    </w:p>
    <w:p w14:paraId="1A962AC8">
      <w:pPr>
        <w:pStyle w:val="53"/>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3.响应报价低于采购项目最高限价45%的，即响应报价&lt;采购项目最高限价×45%；</w:t>
      </w:r>
    </w:p>
    <w:p w14:paraId="57EE7B4C">
      <w:pPr>
        <w:pStyle w:val="53"/>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4.磋商小组基于专业判断，认为供应商报价过低，有可能影响产品质量或者不能诚信履约的其他情形。</w:t>
      </w:r>
    </w:p>
    <w:p w14:paraId="1FF77B7A">
      <w:pPr>
        <w:pStyle w:val="53"/>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磋商小组应当要求相关供应商在评审现场不少于30分钟时间内对响应价格作出解释，提供项目具体成本测算等与报价合理性相关的书面说明及必要的证明材料，包括但不限于原材料成本、人工成本、制造费用等。</w:t>
      </w:r>
    </w:p>
    <w:p w14:paraId="1BDD5442">
      <w:pPr>
        <w:pStyle w:val="53"/>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6CF1BFBD">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七、出现下列情形之一的，作无效响应处理</w:t>
      </w:r>
    </w:p>
    <w:p w14:paraId="1155B02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1.响应文件未按规定要求签署、盖章及主要资料不齐全的；</w:t>
      </w:r>
    </w:p>
    <w:p w14:paraId="1F543AD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2.响应文件的资料有虚报或者谎报的；</w:t>
      </w:r>
    </w:p>
    <w:p w14:paraId="7D62F09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3.响应文件中资格审查文件及技术响应文件出现磋商报价的内容；</w:t>
      </w:r>
    </w:p>
    <w:p w14:paraId="57B40B6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4.不具备磋商文件规定的资格要求的；</w:t>
      </w:r>
    </w:p>
    <w:p w14:paraId="3126135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5.响应文件有重大漏项或重大不合理的；</w:t>
      </w:r>
    </w:p>
    <w:p w14:paraId="1CC178F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6.项目技术、方案不满足项目需求中的要求，有重大偏离或保留的；</w:t>
      </w:r>
    </w:p>
    <w:p w14:paraId="4549FBE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7.磋商响应报价超出项目预算的；</w:t>
      </w:r>
    </w:p>
    <w:p w14:paraId="425105B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8.被认定为低于成本报价磋商竞标的；</w:t>
      </w:r>
    </w:p>
    <w:p w14:paraId="3955E81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9.供应商的磋商报价高于自己前一轮的；</w:t>
      </w:r>
    </w:p>
    <w:p w14:paraId="2FB4CE2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10.不符合法律、法规和磋商文件中规定的其他实质性响应要求的；</w:t>
      </w:r>
    </w:p>
    <w:p w14:paraId="4655C9A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11.磋商小组依据法律法规可以认定为无效响应的其他情况；</w:t>
      </w:r>
    </w:p>
    <w:p w14:paraId="6425951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12.未按要求提供样品的（如有）。</w:t>
      </w:r>
    </w:p>
    <w:p w14:paraId="10D628AB">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八、出现下列情形之一的，</w:t>
      </w:r>
      <w:r>
        <w:rPr>
          <w:rFonts w:hint="eastAsia" w:ascii="Times New Roman" w:hAnsi="Times New Roman" w:cs="宋体"/>
          <w:b/>
          <w:bCs/>
          <w:color w:val="000000" w:themeColor="text1"/>
          <w:szCs w:val="24"/>
          <w:lang w:eastAsia="zh-CN"/>
          <w14:textFill>
            <w14:solidFill>
              <w14:schemeClr w14:val="tx1"/>
            </w14:solidFill>
          </w14:textFill>
        </w:rPr>
        <w:t>作无效</w:t>
      </w: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响应处理</w:t>
      </w:r>
    </w:p>
    <w:p w14:paraId="02E2E54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1.供应商的报价均超出了采购预算，采购单位不能支付的；</w:t>
      </w:r>
    </w:p>
    <w:p w14:paraId="55821D9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2.因情况变化，不再符合规定的竞争性磋商采购方式所适用情形的；</w:t>
      </w:r>
    </w:p>
    <w:p w14:paraId="7BB548E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3.出现影响采购公正的违法、违规行为的；</w:t>
      </w:r>
    </w:p>
    <w:p w14:paraId="74BA8EB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4.因重大变故，采购任务取消的；</w:t>
      </w:r>
    </w:p>
    <w:p w14:paraId="34032482">
      <w:pPr>
        <w:pStyle w:val="53"/>
        <w:widowControl/>
        <w:shd w:val="clear" w:color="auto" w:fill="FFFFFF"/>
        <w:spacing w:before="0" w:beforeAutospacing="0" w:after="0" w:afterAutospacing="0" w:line="360" w:lineRule="auto"/>
        <w:ind w:firstLine="480"/>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color w:val="000000" w:themeColor="text1"/>
          <w:szCs w:val="24"/>
          <w:lang w:eastAsia="zh-CN"/>
          <w14:textFill>
            <w14:solidFill>
              <w14:schemeClr w14:val="tx1"/>
            </w14:solidFill>
          </w14:textFill>
        </w:rPr>
        <w:t>5.磋商小组依据法律法规可以认定为无效响应的其他情况。</w:t>
      </w:r>
    </w:p>
    <w:p w14:paraId="779C5116">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九、出现下列情形之一的，采购人或采购代理机构应当终止竞争性磋商采购活动，发布项目终止公告并说明原因，重新开展采购活动：</w:t>
      </w:r>
    </w:p>
    <w:p w14:paraId="42DFAC3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1.在采购过程中符合要求的供应商或者报价未超过采购预算的供应商不足3家的；</w:t>
      </w:r>
    </w:p>
    <w:p w14:paraId="19DF3B5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2.因情况变化，不再符合规定的竞争性磋商采购方式所适用情形的；</w:t>
      </w:r>
    </w:p>
    <w:p w14:paraId="23F50FC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3.出现影响采购公正的违法、违规行为的；</w:t>
      </w:r>
    </w:p>
    <w:p w14:paraId="0B6B8A48">
      <w:pPr>
        <w:pStyle w:val="53"/>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十、成交通知</w:t>
      </w:r>
    </w:p>
    <w:p w14:paraId="37A4B41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成交结果在南通市生态环境局官网公告公示栏公告</w:t>
      </w:r>
      <w:r>
        <w:rPr>
          <w:rFonts w:hint="eastAsia" w:ascii="Times New Roman" w:hAnsi="Times New Roman" w:cs="宋体"/>
          <w:b/>
          <w:color w:val="000000" w:themeColor="text1"/>
          <w:sz w:val="24"/>
          <w:szCs w:val="24"/>
          <w:u w:val="single"/>
          <w14:textFill>
            <w14:solidFill>
              <w14:schemeClr w14:val="tx1"/>
            </w14:solidFill>
          </w14:textFill>
        </w:rPr>
        <w:t>1</w:t>
      </w:r>
      <w:r>
        <w:rPr>
          <w:rFonts w:hint="eastAsia" w:ascii="Times New Roman" w:hAnsi="Times New Roman" w:cs="宋体"/>
          <w:color w:val="000000" w:themeColor="text1"/>
          <w:sz w:val="24"/>
          <w:szCs w:val="24"/>
          <w14:textFill>
            <w14:solidFill>
              <w14:schemeClr w14:val="tx1"/>
            </w14:solidFill>
          </w14:textFill>
        </w:rPr>
        <w:t>个工作日。《成交通知书》一经发出，采购单位改变成交结果，或者成交人放弃成交的，各自承担相应的法律责任。《成交通知书》是采购合同的组成部分。</w:t>
      </w:r>
    </w:p>
    <w:p w14:paraId="5FBB8C62">
      <w:pPr>
        <w:spacing w:line="360" w:lineRule="auto"/>
        <w:ind w:firstLine="480"/>
        <w:rPr>
          <w:rFonts w:ascii="Times New Roman" w:hAnsi="Times New Roman" w:cs="宋体"/>
          <w:b/>
          <w:bCs/>
          <w:color w:val="000000" w:themeColor="text1"/>
          <w:sz w:val="24"/>
          <w:szCs w:val="24"/>
          <w:shd w:val="clear" w:color="auto" w:fill="FFFFFF"/>
          <w14:textFill>
            <w14:solidFill>
              <w14:schemeClr w14:val="tx1"/>
            </w14:solidFill>
          </w14:textFill>
        </w:rPr>
      </w:pPr>
      <w:r>
        <w:rPr>
          <w:rFonts w:hint="eastAsia" w:ascii="Times New Roman" w:hAnsi="Times New Roman" w:cs="宋体"/>
          <w:b/>
          <w:bCs/>
          <w:color w:val="000000" w:themeColor="text1"/>
          <w:sz w:val="24"/>
          <w:szCs w:val="24"/>
          <w:shd w:val="clear" w:color="auto" w:fill="FFFFFF"/>
          <w14:textFill>
            <w14:solidFill>
              <w14:schemeClr w14:val="tx1"/>
            </w14:solidFill>
          </w14:textFill>
        </w:rPr>
        <w:t>十一、特殊情况的约定</w:t>
      </w:r>
    </w:p>
    <w:p w14:paraId="53904011">
      <w:pPr>
        <w:spacing w:line="360" w:lineRule="auto"/>
        <w:ind w:firstLine="480"/>
        <w:jc w:val="left"/>
        <w:rPr>
          <w:rFonts w:ascii="Times New Roman" w:hAnsi="Times New Roman" w:cs="宋体"/>
          <w:color w:val="000000" w:themeColor="text1"/>
          <w:sz w:val="24"/>
          <w:szCs w:val="24"/>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133" w:bottom="1440" w:left="1080" w:header="851" w:footer="992" w:gutter="0"/>
          <w:cols w:space="720" w:num="1"/>
          <w:titlePg/>
          <w:docGrid w:linePitch="360" w:charSpace="0"/>
        </w:sectPr>
      </w:pPr>
      <w:r>
        <w:rPr>
          <w:rFonts w:hint="eastAsia" w:ascii="Times New Roman" w:hAnsi="Times New Roman" w:cs="宋体"/>
          <w:color w:val="000000" w:themeColor="text1"/>
          <w:sz w:val="24"/>
          <w:szCs w:val="24"/>
          <w14:textFill>
            <w14:solidFill>
              <w14:schemeClr w14:val="tx1"/>
            </w14:solidFill>
          </w14:textFill>
        </w:rPr>
        <w:t>本项目第一成交候选人原则上为成交人。当排名第一的成交候选人放弃成交、因不可抗力不能履行合同，或者被查实存在影响成交结果的违法行为等情形，不符合成交条件的，采购人可以按照磋商小组提出的成交候选人名单排序依次确定其他成交候选人为成交人，也可以重新采购。</w:t>
      </w:r>
    </w:p>
    <w:p w14:paraId="449D9838">
      <w:pPr>
        <w:spacing w:line="360" w:lineRule="auto"/>
        <w:ind w:firstLine="480"/>
        <w:jc w:val="center"/>
        <w:outlineLvl w:val="0"/>
        <w:rPr>
          <w:rFonts w:ascii="Times New Roman" w:hAnsi="Times New Roman"/>
          <w:b/>
          <w:color w:val="000000" w:themeColor="text1"/>
          <w:sz w:val="44"/>
          <w:szCs w:val="44"/>
          <w14:textFill>
            <w14:solidFill>
              <w14:schemeClr w14:val="tx1"/>
            </w14:solidFill>
          </w14:textFill>
        </w:rPr>
      </w:pPr>
      <w:r>
        <w:rPr>
          <w:rFonts w:ascii="Times New Roman" w:hAnsi="Times New Roman" w:cs="宋体"/>
          <w:b/>
          <w:iCs/>
          <w:color w:val="000000" w:themeColor="text1"/>
          <w:sz w:val="44"/>
          <w:szCs w:val="44"/>
          <w14:textFill>
            <w14:solidFill>
              <w14:schemeClr w14:val="tx1"/>
            </w14:solidFill>
          </w14:textFill>
        </w:rPr>
        <w:t>第</w:t>
      </w:r>
      <w:r>
        <w:rPr>
          <w:rFonts w:hint="eastAsia" w:ascii="Times New Roman" w:hAnsi="Times New Roman" w:cs="宋体"/>
          <w:b/>
          <w:iCs/>
          <w:color w:val="000000" w:themeColor="text1"/>
          <w:sz w:val="44"/>
          <w:szCs w:val="44"/>
          <w14:textFill>
            <w14:solidFill>
              <w14:schemeClr w14:val="tx1"/>
            </w14:solidFill>
          </w14:textFill>
        </w:rPr>
        <w:t>五</w:t>
      </w:r>
      <w:r>
        <w:rPr>
          <w:rFonts w:ascii="Times New Roman" w:hAnsi="Times New Roman" w:cs="宋体"/>
          <w:b/>
          <w:iCs/>
          <w:color w:val="000000" w:themeColor="text1"/>
          <w:sz w:val="44"/>
          <w:szCs w:val="44"/>
          <w14:textFill>
            <w14:solidFill>
              <w14:schemeClr w14:val="tx1"/>
            </w14:solidFill>
          </w14:textFill>
        </w:rPr>
        <w:t>章</w:t>
      </w:r>
      <w:r>
        <w:rPr>
          <w:rFonts w:hint="eastAsia" w:ascii="Times New Roman" w:hAnsi="Times New Roman" w:cs="宋体"/>
          <w:b/>
          <w:iCs/>
          <w:color w:val="000000" w:themeColor="text1"/>
          <w:sz w:val="44"/>
          <w:szCs w:val="44"/>
          <w14:textFill>
            <w14:solidFill>
              <w14:schemeClr w14:val="tx1"/>
            </w14:solidFill>
          </w14:textFill>
        </w:rPr>
        <w:t xml:space="preserve"> </w:t>
      </w:r>
      <w:r>
        <w:rPr>
          <w:rFonts w:hint="eastAsia" w:ascii="Times New Roman" w:hAnsi="Times New Roman"/>
          <w:b/>
          <w:color w:val="000000" w:themeColor="text1"/>
          <w:sz w:val="44"/>
          <w:szCs w:val="44"/>
          <w14:textFill>
            <w14:solidFill>
              <w14:schemeClr w14:val="tx1"/>
            </w14:solidFill>
          </w14:textFill>
        </w:rPr>
        <w:t>合同主要条款</w:t>
      </w:r>
    </w:p>
    <w:p w14:paraId="0B8D730C">
      <w:pPr>
        <w:snapToGrid w:val="0"/>
        <w:spacing w:line="360" w:lineRule="auto"/>
        <w:ind w:firstLine="480" w:firstLineChars="200"/>
        <w:rPr>
          <w:rFonts w:hint="eastAsia" w:ascii="宋体" w:hAnsi="宋体" w:cs="宋体"/>
          <w:sz w:val="24"/>
          <w:szCs w:val="24"/>
        </w:rPr>
      </w:pPr>
      <w:bookmarkStart w:id="9" w:name="_Hlk132878942"/>
    </w:p>
    <w:p w14:paraId="4614C440">
      <w:pPr>
        <w:snapToGrid w:val="0"/>
        <w:spacing w:line="360" w:lineRule="auto"/>
        <w:ind w:firstLine="480" w:firstLineChars="200"/>
        <w:rPr>
          <w:rFonts w:hint="eastAsia" w:ascii="宋体" w:hAnsi="宋体" w:cs="宋体"/>
          <w:sz w:val="24"/>
          <w:szCs w:val="24"/>
        </w:rPr>
      </w:pPr>
    </w:p>
    <w:p w14:paraId="2E0B60AC">
      <w:pPr>
        <w:snapToGrid w:val="0"/>
        <w:spacing w:line="360" w:lineRule="auto"/>
        <w:ind w:firstLine="480" w:firstLineChars="200"/>
        <w:rPr>
          <w:rFonts w:hint="eastAsia" w:ascii="宋体" w:hAnsi="宋体" w:cs="宋体"/>
          <w:sz w:val="24"/>
          <w:szCs w:val="24"/>
        </w:rPr>
      </w:pPr>
    </w:p>
    <w:p w14:paraId="57A81B1A">
      <w:pPr>
        <w:snapToGrid w:val="0"/>
        <w:spacing w:line="360" w:lineRule="auto"/>
        <w:ind w:firstLine="480" w:firstLineChars="200"/>
        <w:rPr>
          <w:rFonts w:hint="eastAsia" w:ascii="宋体" w:hAnsi="宋体" w:cs="宋体"/>
          <w:sz w:val="24"/>
          <w:szCs w:val="24"/>
        </w:rPr>
      </w:pPr>
    </w:p>
    <w:p w14:paraId="17FB65C8">
      <w:pPr>
        <w:snapToGrid w:val="0"/>
        <w:spacing w:line="360" w:lineRule="auto"/>
        <w:ind w:firstLine="883" w:firstLineChars="200"/>
        <w:jc w:val="center"/>
        <w:rPr>
          <w:rFonts w:hint="eastAsia" w:ascii="宋体" w:hAnsi="宋体" w:cs="宋体"/>
          <w:sz w:val="44"/>
          <w:szCs w:val="44"/>
        </w:rPr>
      </w:pPr>
      <w:r>
        <w:rPr>
          <w:rFonts w:hint="eastAsia" w:ascii="宋体" w:hAnsi="宋体" w:cs="宋体"/>
          <w:b/>
          <w:bCs/>
          <w:sz w:val="44"/>
          <w:szCs w:val="44"/>
        </w:rPr>
        <w:t>采购合同（服务类）（合同编号）</w:t>
      </w:r>
    </w:p>
    <w:p w14:paraId="3D3E86F8">
      <w:pPr>
        <w:snapToGrid w:val="0"/>
        <w:spacing w:line="360" w:lineRule="auto"/>
        <w:ind w:firstLine="480" w:firstLineChars="200"/>
        <w:rPr>
          <w:rFonts w:hint="eastAsia" w:ascii="宋体" w:hAnsi="宋体" w:cs="宋体"/>
          <w:sz w:val="24"/>
          <w:szCs w:val="24"/>
        </w:rPr>
      </w:pPr>
    </w:p>
    <w:p w14:paraId="68CA4ABA">
      <w:pPr>
        <w:snapToGrid w:val="0"/>
        <w:spacing w:line="360" w:lineRule="auto"/>
        <w:ind w:firstLine="480" w:firstLineChars="200"/>
        <w:rPr>
          <w:rFonts w:hint="eastAsia" w:ascii="宋体" w:hAnsi="宋体" w:cs="宋体"/>
          <w:sz w:val="24"/>
          <w:szCs w:val="24"/>
        </w:rPr>
      </w:pPr>
    </w:p>
    <w:p w14:paraId="3D6795AC">
      <w:pPr>
        <w:snapToGrid w:val="0"/>
        <w:spacing w:line="360" w:lineRule="auto"/>
        <w:ind w:firstLine="480" w:firstLineChars="200"/>
        <w:rPr>
          <w:rFonts w:hint="eastAsia" w:ascii="宋体" w:hAnsi="宋体" w:cs="宋体"/>
          <w:sz w:val="24"/>
          <w:szCs w:val="24"/>
        </w:rPr>
      </w:pPr>
    </w:p>
    <w:p w14:paraId="5312398E">
      <w:pPr>
        <w:snapToGrid w:val="0"/>
        <w:spacing w:line="360" w:lineRule="auto"/>
        <w:ind w:firstLine="480" w:firstLineChars="200"/>
        <w:rPr>
          <w:rFonts w:hint="eastAsia" w:ascii="宋体" w:hAnsi="宋体" w:cs="宋体"/>
          <w:sz w:val="24"/>
          <w:szCs w:val="24"/>
        </w:rPr>
      </w:pPr>
    </w:p>
    <w:p w14:paraId="20BCC2CE">
      <w:pPr>
        <w:snapToGrid w:val="0"/>
        <w:spacing w:line="360" w:lineRule="auto"/>
        <w:ind w:firstLine="480" w:firstLineChars="200"/>
        <w:rPr>
          <w:rFonts w:hint="eastAsia" w:ascii="宋体" w:hAnsi="宋体" w:cs="宋体"/>
          <w:sz w:val="24"/>
          <w:szCs w:val="24"/>
        </w:rPr>
      </w:pPr>
    </w:p>
    <w:p w14:paraId="6D369DEF">
      <w:pPr>
        <w:snapToGrid w:val="0"/>
        <w:spacing w:line="360" w:lineRule="auto"/>
        <w:ind w:firstLine="480" w:firstLineChars="200"/>
        <w:rPr>
          <w:rFonts w:hint="eastAsia" w:ascii="宋体" w:hAnsi="宋体" w:cs="宋体"/>
          <w:sz w:val="24"/>
          <w:szCs w:val="24"/>
        </w:rPr>
      </w:pPr>
    </w:p>
    <w:p w14:paraId="7DB37A4F">
      <w:pPr>
        <w:snapToGrid w:val="0"/>
        <w:spacing w:line="360" w:lineRule="auto"/>
        <w:ind w:firstLine="480" w:firstLineChars="200"/>
        <w:rPr>
          <w:rFonts w:hint="eastAsia" w:ascii="宋体" w:hAnsi="宋体" w:cs="宋体"/>
          <w:sz w:val="24"/>
          <w:szCs w:val="24"/>
        </w:rPr>
      </w:pPr>
    </w:p>
    <w:p w14:paraId="64A1A370">
      <w:pPr>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项目名称：南通市近岸海域水质调查与治理评估项目</w:t>
      </w:r>
    </w:p>
    <w:p w14:paraId="5649E511">
      <w:pPr>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项目编号：WY-20260128-010</w:t>
      </w:r>
    </w:p>
    <w:p w14:paraId="7A412AAC">
      <w:pPr>
        <w:rPr>
          <w:rFonts w:hint="eastAsia" w:ascii="宋体" w:hAnsi="宋体" w:cs="宋体"/>
          <w:sz w:val="24"/>
          <w:szCs w:val="24"/>
        </w:rPr>
      </w:pPr>
      <w:r>
        <w:rPr>
          <w:rFonts w:hint="eastAsia" w:ascii="宋体" w:hAnsi="宋体" w:cs="宋体"/>
          <w:sz w:val="24"/>
          <w:szCs w:val="24"/>
        </w:rPr>
        <w:br w:type="page"/>
      </w:r>
    </w:p>
    <w:p w14:paraId="2718D32B">
      <w:pPr>
        <w:snapToGrid w:val="0"/>
        <w:spacing w:line="360" w:lineRule="auto"/>
        <w:ind w:firstLine="480" w:firstLineChars="200"/>
        <w:rPr>
          <w:rFonts w:hint="eastAsia" w:ascii="宋体" w:hAnsi="宋体" w:cs="宋体"/>
          <w:sz w:val="24"/>
          <w:szCs w:val="24"/>
        </w:rPr>
      </w:pPr>
    </w:p>
    <w:p w14:paraId="58D5619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甲方：（买方）</w:t>
      </w:r>
      <w:r>
        <w:rPr>
          <w:rFonts w:hint="eastAsia" w:ascii="宋体" w:hAnsi="宋体" w:cs="宋体"/>
          <w:sz w:val="24"/>
          <w:szCs w:val="24"/>
          <w:u w:val="single"/>
        </w:rPr>
        <w:t xml:space="preserve">                        </w:t>
      </w:r>
    </w:p>
    <w:p w14:paraId="653E025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乙方：（卖方）</w:t>
      </w:r>
      <w:r>
        <w:rPr>
          <w:rFonts w:hint="eastAsia" w:ascii="宋体" w:hAnsi="宋体" w:cs="宋体"/>
          <w:sz w:val="24"/>
          <w:szCs w:val="24"/>
          <w:u w:val="single"/>
        </w:rPr>
        <w:t xml:space="preserve">                        </w:t>
      </w:r>
    </w:p>
    <w:p w14:paraId="51E7D13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根据《中华人民共和国民法典（合同编）》、《中华人民共和国政府采购法》等法律法规的规定以及</w:t>
      </w:r>
      <w:r>
        <w:rPr>
          <w:rFonts w:hint="eastAsia" w:ascii="宋体" w:hAnsi="宋体" w:cs="宋体"/>
          <w:sz w:val="24"/>
          <w:szCs w:val="24"/>
          <w:u w:val="single"/>
        </w:rPr>
        <w:t xml:space="preserve">                       </w:t>
      </w:r>
      <w:r>
        <w:rPr>
          <w:rFonts w:hint="eastAsia" w:ascii="宋体" w:hAnsi="宋体" w:cs="宋体"/>
          <w:sz w:val="24"/>
          <w:szCs w:val="24"/>
        </w:rPr>
        <w:t>项目采购结果，甲乙双方遵循平等、自愿、公平、诚实信用的原则，就</w:t>
      </w:r>
      <w:r>
        <w:rPr>
          <w:rFonts w:hint="eastAsia" w:ascii="宋体" w:hAnsi="宋体" w:cs="宋体"/>
          <w:sz w:val="24"/>
          <w:szCs w:val="24"/>
          <w:u w:val="single"/>
        </w:rPr>
        <w:t xml:space="preserve">                       </w:t>
      </w:r>
      <w:r>
        <w:rPr>
          <w:rFonts w:hint="eastAsia" w:ascii="宋体" w:hAnsi="宋体" w:cs="宋体"/>
          <w:sz w:val="24"/>
          <w:szCs w:val="24"/>
        </w:rPr>
        <w:t>项目事宜经双方协商一致，订立本合同。</w:t>
      </w:r>
    </w:p>
    <w:p w14:paraId="7E2A3158">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一、合同内容</w:t>
      </w:r>
    </w:p>
    <w:p w14:paraId="5183F6B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 标的名称：</w:t>
      </w:r>
    </w:p>
    <w:p w14:paraId="5031E6A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1.2标的质量：</w:t>
      </w:r>
    </w:p>
    <w:p w14:paraId="606AE7B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 服务内容及范围（规模）：</w:t>
      </w:r>
    </w:p>
    <w:p w14:paraId="305E994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 履行时间（期限）：</w:t>
      </w:r>
    </w:p>
    <w:p w14:paraId="64D7697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1.5 履行地点：</w:t>
      </w:r>
    </w:p>
    <w:p w14:paraId="11F2240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1.6履行方式：</w:t>
      </w:r>
    </w:p>
    <w:p w14:paraId="33DF8C64">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二、合同金额</w:t>
      </w:r>
    </w:p>
    <w:p w14:paraId="702CFD8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2.1 本合同金额为（大写）：__________圆（_________元）人民币。</w:t>
      </w:r>
    </w:p>
    <w:p w14:paraId="67A511D9">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三、技术资料</w:t>
      </w:r>
    </w:p>
    <w:p w14:paraId="70BA366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3.1 乙方应按采购文件规定的时间向甲方提供服务（包含与服务相关的产品）的有关技术资料。</w:t>
      </w:r>
    </w:p>
    <w:p w14:paraId="6CDA82E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9BCDA84">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四、知识产权</w:t>
      </w:r>
    </w:p>
    <w:p w14:paraId="6E3B4B4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 乙方应保证甲方在使用、接受本合同服务（包含与服务相关的产品）或其任何一部分时不受第三方提出侵犯其专利权、版权、商标权和工业设计权等知识产权的起诉。一旦出现侵权，由乙方负全部责任。</w:t>
      </w:r>
    </w:p>
    <w:p w14:paraId="42A4E77C">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五、产权担保</w:t>
      </w:r>
    </w:p>
    <w:p w14:paraId="20480D6B">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5.1 乙方保证所交付的服务（包含与服务相关的产品）的所有权完全属于乙方且无任何抵押、查封等产权瑕疵。</w:t>
      </w:r>
    </w:p>
    <w:p w14:paraId="4FF9C661">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六、合同转包</w:t>
      </w:r>
    </w:p>
    <w:p w14:paraId="6F233E0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6.1 乙方不得将合同标的转包给他人履行。</w:t>
      </w:r>
    </w:p>
    <w:p w14:paraId="7A9CAC7F">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七、合同款项支付</w:t>
      </w:r>
    </w:p>
    <w:p w14:paraId="790F526E">
      <w:pPr>
        <w:snapToGrid w:val="0"/>
        <w:spacing w:line="360" w:lineRule="auto"/>
        <w:ind w:firstLine="480" w:firstLineChars="200"/>
        <w:rPr>
          <w:rFonts w:hint="eastAsia" w:ascii="宋体" w:hAnsi="宋体" w:cs="宋体"/>
          <w:sz w:val="24"/>
          <w:szCs w:val="24"/>
        </w:rPr>
      </w:pPr>
      <w:r>
        <w:rPr>
          <w:rFonts w:hint="eastAsia" w:ascii="宋体" w:hAnsi="宋体" w:cs="宋体"/>
          <w:bCs/>
          <w:sz w:val="24"/>
          <w:szCs w:val="24"/>
        </w:rPr>
        <w:t>7.1</w:t>
      </w:r>
      <w:r>
        <w:rPr>
          <w:rFonts w:hint="eastAsia" w:ascii="宋体" w:hAnsi="宋体" w:cs="宋体"/>
          <w:sz w:val="24"/>
          <w:szCs w:val="24"/>
        </w:rPr>
        <w:t>由甲方按下列程序在</w:t>
      </w:r>
      <w:r>
        <w:rPr>
          <w:rFonts w:hint="eastAsia" w:ascii="宋体" w:hAnsi="宋体" w:cs="宋体"/>
          <w:sz w:val="24"/>
          <w:szCs w:val="24"/>
          <w:u w:val="single"/>
        </w:rPr>
        <w:t xml:space="preserve">    </w:t>
      </w:r>
      <w:r>
        <w:rPr>
          <w:rFonts w:hint="eastAsia" w:ascii="宋体" w:hAnsi="宋体" w:cs="宋体"/>
          <w:sz w:val="24"/>
          <w:szCs w:val="24"/>
        </w:rPr>
        <w:t>内付款:</w:t>
      </w:r>
    </w:p>
    <w:p w14:paraId="6CECAE1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p>
    <w:p w14:paraId="0EB95FD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7.2对于满足合同约定支付条件的，甲方应当自收到发票后</w:t>
      </w:r>
      <w:r>
        <w:rPr>
          <w:rFonts w:hint="eastAsia" w:ascii="宋体" w:hAnsi="宋体" w:cs="宋体"/>
          <w:sz w:val="24"/>
          <w:szCs w:val="24"/>
          <w:u w:val="single"/>
        </w:rPr>
        <w:t xml:space="preserve"> 30</w:t>
      </w:r>
      <w:r>
        <w:rPr>
          <w:rFonts w:hint="eastAsia" w:ascii="宋体" w:hAnsi="宋体" w:cs="宋体"/>
          <w:sz w:val="24"/>
          <w:szCs w:val="24"/>
        </w:rPr>
        <w:t>日内将资金支付到合同约定的乙方账户，不得以机构变动、人员更替、政策调整等为由延迟付款，不得将采购文件和合同中未规定的义务作为向乙方付款的条件。</w:t>
      </w:r>
    </w:p>
    <w:p w14:paraId="7E9A6279">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八、税费</w:t>
      </w:r>
    </w:p>
    <w:p w14:paraId="1B3BC51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8.1 本合同执行中相关的一切税费均由乙方负担。</w:t>
      </w:r>
    </w:p>
    <w:p w14:paraId="5BD86153">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九、项目验收</w:t>
      </w:r>
    </w:p>
    <w:p w14:paraId="2429729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9.1 甲方依法组织履约验收工作。</w:t>
      </w:r>
    </w:p>
    <w:p w14:paraId="28B64F1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CD51FB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9.3 对于实际使用人和甲方分离的项目，甲方邀请实际使用人参与验收。</w:t>
      </w:r>
    </w:p>
    <w:p w14:paraId="2FE93BD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9.4 如有必要，甲方邀请参加本项目的其他供应商、服务对象、第三方专业机构及专家参与验收，相关意见将作为验收书的参考资料。</w:t>
      </w:r>
    </w:p>
    <w:p w14:paraId="300D09C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27348C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9.6 验收合格的项目,甲方根据采购合同的约定及时向乙方支付合同款项、退还履约保证金。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5DAD96ED">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十、违约责任</w:t>
      </w:r>
    </w:p>
    <w:p w14:paraId="5C75D57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10.1 甲方无正当理由拒绝接受乙方提供服务的，甲方向乙方偿付拒绝接受服务合同价款总值</w:t>
      </w:r>
      <w:r>
        <w:rPr>
          <w:rFonts w:hint="eastAsia" w:ascii="宋体" w:hAnsi="宋体" w:cs="宋体"/>
          <w:sz w:val="24"/>
          <w:szCs w:val="24"/>
          <w:u w:val="single"/>
        </w:rPr>
        <w:t xml:space="preserve">    </w:t>
      </w:r>
      <w:r>
        <w:rPr>
          <w:rFonts w:hint="eastAsia" w:ascii="宋体" w:hAnsi="宋体" w:cs="宋体"/>
          <w:sz w:val="24"/>
          <w:szCs w:val="24"/>
        </w:rPr>
        <w:t>的违约金。</w:t>
      </w:r>
    </w:p>
    <w:p w14:paraId="07909CF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10.2 甲方无故逾期验收和办理合同款项支付手续的,甲方应按逾期付款总额</w:t>
      </w:r>
      <w:r>
        <w:rPr>
          <w:rFonts w:hint="eastAsia" w:ascii="宋体" w:hAnsi="宋体" w:cs="宋体"/>
          <w:sz w:val="24"/>
          <w:szCs w:val="24"/>
          <w:u w:val="single"/>
        </w:rPr>
        <w:t xml:space="preserve">   </w:t>
      </w:r>
      <w:r>
        <w:rPr>
          <w:rFonts w:hint="eastAsia" w:ascii="宋体" w:hAnsi="宋体" w:cs="宋体"/>
          <w:sz w:val="24"/>
          <w:szCs w:val="24"/>
        </w:rPr>
        <w:t>每日</w:t>
      </w:r>
      <w:r>
        <w:rPr>
          <w:rFonts w:hint="eastAsia" w:ascii="宋体" w:hAnsi="宋体" w:cs="宋体"/>
          <w:sz w:val="24"/>
          <w:szCs w:val="24"/>
          <w:u w:val="single"/>
        </w:rPr>
        <w:t xml:space="preserve">     </w:t>
      </w:r>
      <w:r>
        <w:rPr>
          <w:rFonts w:hint="eastAsia" w:ascii="宋体" w:hAnsi="宋体" w:cs="宋体"/>
          <w:sz w:val="24"/>
          <w:szCs w:val="24"/>
        </w:rPr>
        <w:t>向乙方支付违约金。</w:t>
      </w:r>
    </w:p>
    <w:p w14:paraId="28A5195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10.3 乙方逾期提供服务的，乙方应按逾期提供服务合同总额每日</w:t>
      </w:r>
      <w:r>
        <w:rPr>
          <w:rFonts w:hint="eastAsia" w:ascii="宋体" w:hAnsi="宋体" w:cs="宋体"/>
          <w:sz w:val="24"/>
          <w:szCs w:val="24"/>
          <w:u w:val="single"/>
        </w:rPr>
        <w:t xml:space="preserve">     </w:t>
      </w:r>
      <w:r>
        <w:rPr>
          <w:rFonts w:hint="eastAsia" w:ascii="宋体" w:hAnsi="宋体" w:cs="宋体"/>
          <w:sz w:val="24"/>
          <w:szCs w:val="24"/>
        </w:rPr>
        <w:t>向甲方支付违约金，由甲方从待付合同款项中扣除。逾期超过约定日期</w:t>
      </w:r>
      <w:r>
        <w:rPr>
          <w:rFonts w:hint="eastAsia" w:ascii="宋体" w:hAnsi="宋体" w:cs="宋体"/>
          <w:sz w:val="24"/>
          <w:szCs w:val="24"/>
          <w:u w:val="single"/>
        </w:rPr>
        <w:t xml:space="preserve">     </w:t>
      </w:r>
      <w:r>
        <w:rPr>
          <w:rFonts w:hint="eastAsia" w:ascii="宋体" w:hAnsi="宋体" w:cs="宋体"/>
          <w:sz w:val="24"/>
          <w:szCs w:val="24"/>
        </w:rPr>
        <w:t>个工作日不能提供服务的，甲方可解除本合同。乙方因逾期提供服务或因其他违约行为导致甲方解除合同的，乙方应向甲方支付合同价款总额</w:t>
      </w:r>
      <w:r>
        <w:rPr>
          <w:rFonts w:hint="eastAsia" w:ascii="宋体" w:hAnsi="宋体" w:cs="宋体"/>
          <w:sz w:val="24"/>
          <w:szCs w:val="24"/>
          <w:u w:val="single"/>
        </w:rPr>
        <w:t xml:space="preserve">     </w:t>
      </w:r>
      <w:r>
        <w:rPr>
          <w:rFonts w:hint="eastAsia" w:ascii="宋体" w:hAnsi="宋体" w:cs="宋体"/>
          <w:sz w:val="24"/>
          <w:szCs w:val="24"/>
        </w:rPr>
        <w:t xml:space="preserve">的违约金，如造成甲方损失超过违约金的，超出部分由乙方继续承担赔偿责任。 </w:t>
      </w:r>
    </w:p>
    <w:p w14:paraId="5F49BFF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10.4 乙方所提供服务的标准不符合合同规定及采购文件规定标准的，甲方有权拒绝接受服务，并可单方面解除合同。</w:t>
      </w:r>
    </w:p>
    <w:p w14:paraId="7AB20700">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十一、不可抗力事件处理</w:t>
      </w:r>
    </w:p>
    <w:p w14:paraId="1179CB1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11.1 在合同有效期内，任何一方因不可抗力事件导致不能履行合同，则合同履行期可延长，其延长期与不可抗力影响期相同。</w:t>
      </w:r>
    </w:p>
    <w:p w14:paraId="2DDB82D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11.2 不可抗力事件发生后，应立即通知对方，并寄送有关权威机构出具的证明。</w:t>
      </w:r>
    </w:p>
    <w:p w14:paraId="44BD723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11.3 不可抗力事件延续120天以上，双方应通过友好协商，确定是否继续履行合同。</w:t>
      </w:r>
    </w:p>
    <w:p w14:paraId="47E08995">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十二、诉讼</w:t>
      </w:r>
    </w:p>
    <w:p w14:paraId="225A7D0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12.1 双方在执行合同中所发生的一切争议，应通过协商解决。如协商不成，可向合同签订地法院起诉，合同签订地在此约定为</w:t>
      </w:r>
      <w:r>
        <w:rPr>
          <w:rFonts w:hint="eastAsia" w:ascii="宋体" w:hAnsi="宋体" w:cs="宋体"/>
          <w:sz w:val="24"/>
          <w:szCs w:val="24"/>
          <w:u w:val="single"/>
        </w:rPr>
        <w:t xml:space="preserve">       </w:t>
      </w:r>
      <w:r>
        <w:rPr>
          <w:rFonts w:hint="eastAsia" w:ascii="宋体" w:hAnsi="宋体" w:cs="宋体"/>
          <w:sz w:val="24"/>
          <w:szCs w:val="24"/>
        </w:rPr>
        <w:t>。</w:t>
      </w:r>
    </w:p>
    <w:p w14:paraId="08253BBA">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十三、其他</w:t>
      </w:r>
    </w:p>
    <w:p w14:paraId="313FF09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13.1 本合同所有附件、招标文件、投标文件、中标通知书均为合同的有效组成部分，与本合同具有同等法律效力。</w:t>
      </w:r>
    </w:p>
    <w:p w14:paraId="61CF939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13.2 如一方地址、电话、传真号码有变更，应在变更当日内书面通知对方，否则，应承担相应责任。</w:t>
      </w:r>
    </w:p>
    <w:p w14:paraId="56438CB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13.3 除甲方事先书面同意外，乙方不得部分或全部转让其应履行的合同项下的义务。</w:t>
      </w:r>
    </w:p>
    <w:p w14:paraId="61DCFC3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13.4本合同未尽事宜，遵照《中华人民共和国民法典（合同编）》有关条文执行。</w:t>
      </w:r>
    </w:p>
    <w:p w14:paraId="30C10593">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十四、合同生效</w:t>
      </w:r>
    </w:p>
    <w:p w14:paraId="6F98FE2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14.1 合同经双方法定代表人或授权委托代表人签字并加盖单位公章后生效。</w:t>
      </w:r>
    </w:p>
    <w:p w14:paraId="709668E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14.2 本合同正本一式肆份，甲乙双方各执贰份。</w:t>
      </w:r>
    </w:p>
    <w:p w14:paraId="1293E6C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【以下无正文】</w:t>
      </w:r>
    </w:p>
    <w:p w14:paraId="62C8545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14:paraId="3CD232DD">
      <w:pPr>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 xml:space="preserve">      </w:t>
      </w:r>
    </w:p>
    <w:p w14:paraId="118FBE57">
      <w:pPr>
        <w:ind w:firstLine="720" w:firstLineChars="300"/>
        <w:rPr>
          <w:rFonts w:hint="eastAsia" w:ascii="宋体" w:hAnsi="宋体" w:cs="宋体"/>
          <w:sz w:val="24"/>
          <w:szCs w:val="24"/>
        </w:rPr>
      </w:pPr>
      <w:r>
        <w:rPr>
          <w:rFonts w:hint="eastAsia" w:ascii="宋体" w:hAnsi="宋体" w:cs="宋体"/>
          <w:sz w:val="24"/>
          <w:szCs w:val="24"/>
        </w:rPr>
        <w:t xml:space="preserve">甲方：                        乙方： </w:t>
      </w:r>
    </w:p>
    <w:p w14:paraId="2B5DE0E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地址：                        地址： </w:t>
      </w:r>
    </w:p>
    <w:p w14:paraId="4C024A4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法定代表人或授权代表：        法定代表人或授权代表：</w:t>
      </w:r>
    </w:p>
    <w:p w14:paraId="645982BA">
      <w:pPr>
        <w:snapToGrid w:val="0"/>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联系电话：                    联系电话：         </w:t>
      </w:r>
    </w:p>
    <w:p w14:paraId="121EE37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14:paraId="2A39F56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签订日期：      年    月   日</w:t>
      </w:r>
      <w:bookmarkEnd w:id="9"/>
      <w:bookmarkStart w:id="10" w:name="_Hlt16619369"/>
      <w:bookmarkEnd w:id="10"/>
    </w:p>
    <w:p w14:paraId="579903B8">
      <w:pPr>
        <w:pStyle w:val="22"/>
        <w:spacing w:line="420" w:lineRule="exact"/>
        <w:ind w:left="420" w:firstLine="480"/>
        <w:rPr>
          <w:sz w:val="24"/>
          <w:szCs w:val="24"/>
        </w:rPr>
      </w:pPr>
    </w:p>
    <w:p w14:paraId="70D3CEB5">
      <w:pPr>
        <w:spacing w:line="420" w:lineRule="exact"/>
        <w:jc w:val="center"/>
        <w:rPr>
          <w:sz w:val="24"/>
          <w:szCs w:val="24"/>
        </w:rPr>
      </w:pPr>
    </w:p>
    <w:p w14:paraId="04A42B47">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br w:type="page"/>
      </w:r>
    </w:p>
    <w:p w14:paraId="7848E1EB">
      <w:pPr>
        <w:rPr>
          <w:rFonts w:ascii="Times New Roman" w:hAnsi="Times New Roman"/>
          <w:b/>
          <w:color w:val="000000" w:themeColor="text1"/>
          <w:sz w:val="32"/>
          <w:szCs w:val="32"/>
          <w14:textFill>
            <w14:solidFill>
              <w14:schemeClr w14:val="tx1"/>
            </w14:solidFill>
          </w14:textFill>
        </w:rPr>
      </w:pPr>
    </w:p>
    <w:p w14:paraId="4A42FEF4">
      <w:pPr>
        <w:pStyle w:val="239"/>
        <w:tabs>
          <w:tab w:val="left" w:pos="1050"/>
          <w:tab w:val="right" w:leader="dot" w:pos="9402"/>
        </w:tabs>
        <w:spacing w:line="360" w:lineRule="auto"/>
        <w:ind w:left="0"/>
        <w:jc w:val="center"/>
        <w:outlineLvl w:val="0"/>
        <w:rPr>
          <w:rFonts w:ascii="Times New Roman" w:hAnsi="Times New Roman" w:cs="宋体"/>
          <w:b/>
          <w:color w:val="000000" w:themeColor="text1"/>
          <w:sz w:val="44"/>
          <w:szCs w:val="44"/>
          <w:lang w:eastAsia="zh-CN"/>
          <w14:textFill>
            <w14:solidFill>
              <w14:schemeClr w14:val="tx1"/>
            </w14:solidFill>
          </w14:textFill>
        </w:rPr>
      </w:pPr>
      <w:r>
        <w:rPr>
          <w:rFonts w:hint="eastAsia" w:ascii="Times New Roman" w:hAnsi="Times New Roman" w:cs="宋体"/>
          <w:b/>
          <w:color w:val="000000" w:themeColor="text1"/>
          <w:sz w:val="44"/>
          <w:szCs w:val="44"/>
          <w:lang w:eastAsia="zh-CN"/>
          <w14:textFill>
            <w14:solidFill>
              <w14:schemeClr w14:val="tx1"/>
            </w14:solidFill>
          </w14:textFill>
        </w:rPr>
        <w:t>第六章 合同授予</w:t>
      </w:r>
    </w:p>
    <w:p w14:paraId="073BA146">
      <w:pPr>
        <w:spacing w:line="480" w:lineRule="exact"/>
        <w:ind w:firstLine="485"/>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一、成交供应商在《成交通知书》发出之日起30日内须按照磋商文件确定的事项和采购单位签订政府采购合同。合同一式肆份，采购</w:t>
      </w:r>
      <w:r>
        <w:rPr>
          <w:rFonts w:hint="eastAsia" w:ascii="Times New Roman" w:hAnsi="Times New Roman" w:cs="宋体"/>
          <w:color w:val="000000" w:themeColor="text1"/>
          <w:sz w:val="24"/>
          <w:szCs w:val="24"/>
          <w14:textFill>
            <w14:solidFill>
              <w14:schemeClr w14:val="tx1"/>
            </w14:solidFill>
          </w14:textFill>
        </w:rPr>
        <w:t>单位</w:t>
      </w:r>
      <w:r>
        <w:rPr>
          <w:rFonts w:hint="eastAsia" w:ascii="Times New Roman" w:hAnsi="Times New Roman" w:cs="宋体"/>
          <w:color w:val="000000" w:themeColor="text1"/>
          <w:sz w:val="24"/>
          <w14:textFill>
            <w14:solidFill>
              <w14:schemeClr w14:val="tx1"/>
            </w14:solidFill>
          </w14:textFill>
        </w:rPr>
        <w:t>贰份、供应商贰份。所签合同不得对磋商文件作实质性修改。采购单位不得向成交供应商提出不合理的要求作为签订合同的条件，不得与成交供应商私下订立背离磋商文件实质性内容的协议。</w:t>
      </w:r>
    </w:p>
    <w:p w14:paraId="15A6AA9D">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二、采购单位按合同约定积极配合成交供应商履约，成交供应商履约到位后，请以书面形式向采购单位提出验收申请。</w:t>
      </w:r>
    </w:p>
    <w:p w14:paraId="35EBF4A5">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三、采购单位故意推迟</w:t>
      </w:r>
      <w:r>
        <w:rPr>
          <w:rFonts w:hint="eastAsia" w:ascii="Times New Roman" w:hAnsi="Times New Roman" w:cs="宋体"/>
          <w:color w:val="000000" w:themeColor="text1"/>
          <w:sz w:val="24"/>
          <w:szCs w:val="24"/>
          <w14:textFill>
            <w14:solidFill>
              <w14:schemeClr w14:val="tx1"/>
            </w14:solidFill>
          </w14:textFill>
        </w:rPr>
        <w:t>项目</w:t>
      </w:r>
      <w:r>
        <w:rPr>
          <w:rFonts w:hint="eastAsia" w:ascii="Times New Roman" w:hAnsi="Times New Roman" w:cs="宋体"/>
          <w:color w:val="000000" w:themeColor="text1"/>
          <w:sz w:val="24"/>
          <w14:textFill>
            <w14:solidFill>
              <w14:schemeClr w14:val="tx1"/>
            </w14:solidFill>
          </w14:textFill>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38152CD7">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四、成交供应商出现违约情形，应当及时纠正或补偿；造成损失的，按合同约定追究违约责任；发现有假冒、伪劣、走私产品、商业贿赂等违法情形的，应由采购单位移交工商、质监、公安等行政执法部门依法查处。</w:t>
      </w:r>
    </w:p>
    <w:p w14:paraId="1F661836">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五、不响应付款方式的，视同响应文件无效，按无效响应文件处理。</w:t>
      </w:r>
    </w:p>
    <w:p w14:paraId="2ABB9CDF">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六、付款方式详见磋商文件第五章。</w:t>
      </w:r>
    </w:p>
    <w:p w14:paraId="7A7DD4E6">
      <w:pPr>
        <w:spacing w:line="480" w:lineRule="exact"/>
        <w:ind w:firstLine="485"/>
        <w:rPr>
          <w:rFonts w:ascii="Times New Roman" w:hAnsi="Times New Roman" w:cs="宋体"/>
          <w:b/>
          <w:iCs/>
          <w:color w:val="000000" w:themeColor="text1"/>
          <w:sz w:val="44"/>
          <w:szCs w:val="4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七、以上项目款的支付不计息。</w:t>
      </w:r>
    </w:p>
    <w:p w14:paraId="485D7D1B">
      <w:pPr>
        <w:rPr>
          <w:rFonts w:ascii="Times New Roman" w:hAnsi="Times New Roman" w:cs="宋体"/>
          <w:b/>
          <w:iCs/>
          <w:color w:val="000000" w:themeColor="text1"/>
          <w:sz w:val="44"/>
          <w:szCs w:val="44"/>
          <w14:textFill>
            <w14:solidFill>
              <w14:schemeClr w14:val="tx1"/>
            </w14:solidFill>
          </w14:textFill>
        </w:rPr>
      </w:pPr>
    </w:p>
    <w:p w14:paraId="459550E5">
      <w:pPr>
        <w:pStyle w:val="239"/>
        <w:tabs>
          <w:tab w:val="left" w:pos="1050"/>
          <w:tab w:val="right" w:leader="dot" w:pos="9402"/>
        </w:tabs>
        <w:spacing w:line="360" w:lineRule="auto"/>
        <w:ind w:left="0"/>
        <w:jc w:val="center"/>
        <w:outlineLvl w:val="0"/>
        <w:rPr>
          <w:rFonts w:ascii="Times New Roman" w:hAnsi="Times New Roman"/>
          <w:color w:val="000000" w:themeColor="text1"/>
          <w:sz w:val="28"/>
          <w:szCs w:val="28"/>
          <w:lang w:eastAsia="zh-CN"/>
          <w14:textFill>
            <w14:solidFill>
              <w14:schemeClr w14:val="tx1"/>
            </w14:solidFill>
          </w14:textFill>
        </w:rPr>
      </w:pPr>
      <w:r>
        <w:rPr>
          <w:rFonts w:ascii="Times New Roman" w:hAnsi="Times New Roman" w:cs="宋体"/>
          <w:b/>
          <w:iCs/>
          <w:color w:val="000000" w:themeColor="text1"/>
          <w:sz w:val="44"/>
          <w:szCs w:val="44"/>
          <w:lang w:eastAsia="zh-CN"/>
          <w14:textFill>
            <w14:solidFill>
              <w14:schemeClr w14:val="tx1"/>
            </w14:solidFill>
          </w14:textFill>
        </w:rPr>
        <w:br w:type="page" w:clear="all"/>
      </w:r>
      <w:r>
        <w:rPr>
          <w:rFonts w:hint="eastAsia" w:ascii="Times New Roman" w:hAnsi="Times New Roman" w:cs="宋体"/>
          <w:b/>
          <w:iCs/>
          <w:color w:val="000000" w:themeColor="text1"/>
          <w:sz w:val="44"/>
          <w:szCs w:val="44"/>
          <w:lang w:eastAsia="zh-CN"/>
          <w14:textFill>
            <w14:solidFill>
              <w14:schemeClr w14:val="tx1"/>
            </w14:solidFill>
          </w14:textFill>
        </w:rPr>
        <w:t>第七章 质疑提出和处理</w:t>
      </w:r>
    </w:p>
    <w:p w14:paraId="0C4D441A">
      <w:pPr>
        <w:spacing w:line="360" w:lineRule="auto"/>
        <w:ind w:firstLine="487"/>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一、质疑的提出</w:t>
      </w:r>
    </w:p>
    <w:p w14:paraId="0B3A43E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1.提出质疑的供应商应当是参与所质疑项目采购活动的供应商。潜在供应商依法获取其可质疑的采购文件的，可以对采购文件提出质疑。</w:t>
      </w:r>
    </w:p>
    <w:p w14:paraId="554CDAED">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2.供应商认为采购文件、采购过程和采购结果使自己的权益受到损害的，可以在知道或应知其权益受到损害之日起七个工作日内，以书面形式向采购人提出质疑。上述应知其权益受到损害之日，是指：</w:t>
      </w:r>
    </w:p>
    <w:p w14:paraId="00778B4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2.1对可以质疑的采购文件提出质疑的，为收到采购文件之日或者采购文件公告期限届满之日；</w:t>
      </w:r>
    </w:p>
    <w:p w14:paraId="052783E2">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2.2对采购过程提出质疑的，为各采购程序环节结束之日；</w:t>
      </w:r>
    </w:p>
    <w:p w14:paraId="57FB1B17">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2.3对成交结果提出质疑的，为成交结果公告期限届满之日。</w:t>
      </w:r>
    </w:p>
    <w:p w14:paraId="574B2A36">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供应商应当在法定质疑期内一次性提出针对同一采购程序环节的质疑。</w:t>
      </w:r>
    </w:p>
    <w:p w14:paraId="799F46E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3.质疑函必须按照本</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文件中《质疑函范本》要求的格式和内容进行填写。供应商如组成联合体参加采购活动，则《质疑函范本》中要求签字、盖章、加盖公章之处，联合体各方均须按要求签字、盖章、加盖公章。</w:t>
      </w:r>
    </w:p>
    <w:p w14:paraId="6E713F8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4.对采购方式、</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文件中项目需求、供应商资格条件、评审方法和评审标准、资格审查结果等应当由采购人答复的质疑，请向采购人提出，由采购人负责答复。</w:t>
      </w:r>
    </w:p>
    <w:p w14:paraId="099FE077">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采购人质疑接收人及联系方式，见</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文件第一章。</w:t>
      </w:r>
    </w:p>
    <w:p w14:paraId="5572D96B">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5.以下情形的质疑不予受理</w:t>
      </w:r>
    </w:p>
    <w:p w14:paraId="320BD3C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5.1 内容不符合《政府采购质疑和投诉办法》财政部第94号令第十二条规定的质疑。</w:t>
      </w:r>
    </w:p>
    <w:p w14:paraId="0AC9824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5.2 超出政府采购法定期限的质疑。</w:t>
      </w:r>
    </w:p>
    <w:p w14:paraId="6F9845C5">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5.3 未参加采购活动的供应商。</w:t>
      </w:r>
    </w:p>
    <w:p w14:paraId="3FB97E31">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5.4供应商组成联合体参加采购活动，联合体中任何一方或多方未按要求签字、盖章、加盖公章的质疑。</w:t>
      </w:r>
    </w:p>
    <w:p w14:paraId="4A2AFFBB">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EA19248">
      <w:pPr>
        <w:spacing w:after="12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br w:type="page" w:clear="all"/>
      </w:r>
      <w:r>
        <w:rPr>
          <w:rFonts w:hint="eastAsia" w:ascii="Times New Roman" w:hAnsi="Times New Roman"/>
          <w:color w:val="000000" w:themeColor="text1"/>
          <w:szCs w:val="21"/>
          <w14:textFill>
            <w14:solidFill>
              <w14:schemeClr w14:val="tx1"/>
            </w14:solidFill>
          </w14:textFill>
        </w:rPr>
        <w:t>附件：</w:t>
      </w:r>
    </w:p>
    <w:p w14:paraId="4775BCD5">
      <w:pPr>
        <w:jc w:val="center"/>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质疑函范本</w:t>
      </w:r>
    </w:p>
    <w:p w14:paraId="0ADA07C8">
      <w:pPr>
        <w:spacing w:before="312"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一、质疑供应商基本信息</w:t>
      </w:r>
    </w:p>
    <w:p w14:paraId="6969334F">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质疑供应商：</w:t>
      </w:r>
    </w:p>
    <w:p w14:paraId="03E24B9F">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地址：邮编：</w:t>
      </w:r>
    </w:p>
    <w:p w14:paraId="1B7BD826">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联系人：联系电话：</w:t>
      </w:r>
    </w:p>
    <w:p w14:paraId="791FE4EC">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授权代表：</w:t>
      </w:r>
    </w:p>
    <w:p w14:paraId="579E17A3">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联系电话：</w:t>
      </w:r>
    </w:p>
    <w:p w14:paraId="66FDA340">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地址：邮编：</w:t>
      </w:r>
    </w:p>
    <w:p w14:paraId="2B6CC2B1">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二、质疑项目基本情况</w:t>
      </w:r>
    </w:p>
    <w:p w14:paraId="0675BE1F">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质疑项目的名称：</w:t>
      </w:r>
    </w:p>
    <w:p w14:paraId="6E0B591E">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质疑项目的编号：包号：</w:t>
      </w:r>
    </w:p>
    <w:p w14:paraId="4466B408">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采购人名称：</w:t>
      </w:r>
    </w:p>
    <w:p w14:paraId="3315728B">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采购文件获取日期：</w:t>
      </w:r>
    </w:p>
    <w:p w14:paraId="58D81DF4">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三、质疑事项具体内容</w:t>
      </w:r>
    </w:p>
    <w:p w14:paraId="76020336">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质疑事项1：</w:t>
      </w:r>
    </w:p>
    <w:p w14:paraId="46422C32">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事实依据：</w:t>
      </w:r>
    </w:p>
    <w:p w14:paraId="73A6647C">
      <w:pPr>
        <w:spacing w:line="360" w:lineRule="auto"/>
        <w:rPr>
          <w:rFonts w:ascii="Times New Roman" w:hAnsi="Times New Roman" w:cs="仿宋"/>
          <w:color w:val="000000" w:themeColor="text1"/>
          <w:sz w:val="24"/>
          <w:szCs w:val="24"/>
          <w14:textFill>
            <w14:solidFill>
              <w14:schemeClr w14:val="tx1"/>
            </w14:solidFill>
          </w14:textFill>
        </w:rPr>
      </w:pPr>
    </w:p>
    <w:p w14:paraId="5169DF95">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法律依据：</w:t>
      </w:r>
    </w:p>
    <w:p w14:paraId="65B33EC1">
      <w:pPr>
        <w:spacing w:line="360" w:lineRule="auto"/>
        <w:rPr>
          <w:rFonts w:ascii="Times New Roman" w:hAnsi="Times New Roman" w:cs="仿宋"/>
          <w:color w:val="000000" w:themeColor="text1"/>
          <w:sz w:val="24"/>
          <w:szCs w:val="24"/>
          <w:u w:val="single"/>
          <w14:textFill>
            <w14:solidFill>
              <w14:schemeClr w14:val="tx1"/>
            </w14:solidFill>
          </w14:textFill>
        </w:rPr>
      </w:pPr>
    </w:p>
    <w:p w14:paraId="287B53F9">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质疑事项2</w:t>
      </w:r>
    </w:p>
    <w:p w14:paraId="1E51337A">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w:t>
      </w:r>
    </w:p>
    <w:p w14:paraId="2C3095C1">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四、与质疑事项相关的质疑请求</w:t>
      </w:r>
    </w:p>
    <w:p w14:paraId="5EEDDD0F">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请求：</w:t>
      </w:r>
    </w:p>
    <w:p w14:paraId="66468162">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签字(签章)：公章：</w:t>
      </w:r>
    </w:p>
    <w:p w14:paraId="39DE6CE3">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日期：</w:t>
      </w:r>
    </w:p>
    <w:p w14:paraId="2504039A">
      <w:pPr>
        <w:spacing w:line="360" w:lineRule="auto"/>
        <w:rPr>
          <w:rFonts w:ascii="Times New Roman" w:hAnsi="Times New Roman" w:cs="仿宋"/>
          <w:color w:val="000000" w:themeColor="text1"/>
          <w:sz w:val="24"/>
          <w:szCs w:val="24"/>
          <w14:textFill>
            <w14:solidFill>
              <w14:schemeClr w14:val="tx1"/>
            </w14:solidFill>
          </w14:textFill>
        </w:rPr>
      </w:pPr>
    </w:p>
    <w:p w14:paraId="260AFB32">
      <w:pPr>
        <w:rPr>
          <w:rFonts w:ascii="Times New Roman" w:hAnsi="Times New Roman"/>
          <w:b/>
          <w:color w:val="000000" w:themeColor="text1"/>
          <w:sz w:val="24"/>
          <w:szCs w:val="24"/>
          <w14:textFill>
            <w14:solidFill>
              <w14:schemeClr w14:val="tx1"/>
            </w14:solidFill>
          </w14:textFill>
        </w:rPr>
      </w:pPr>
    </w:p>
    <w:p w14:paraId="0E537540">
      <w:pPr>
        <w:widowControl/>
        <w:jc w:val="left"/>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br w:type="page" w:clear="all"/>
      </w:r>
    </w:p>
    <w:p w14:paraId="32C5C1B0">
      <w:pPr>
        <w:widowControl/>
        <w:spacing w:line="360" w:lineRule="auto"/>
        <w:jc w:val="left"/>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质疑函制作说明：</w:t>
      </w:r>
    </w:p>
    <w:p w14:paraId="67A44192">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1.供应商提出质疑时，应提交质疑函和必要的证明材料。</w:t>
      </w:r>
    </w:p>
    <w:p w14:paraId="23746691">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2.质疑供应商若委托代理人进行质疑的，质疑函应按要求列明“授权代表”的有关内容，并在附件中提交由质疑</w:t>
      </w:r>
      <w:r>
        <w:rPr>
          <w:rFonts w:hint="eastAsia" w:ascii="Times New Roman" w:hAnsi="Times New Roman" w:cs="宋体"/>
          <w:color w:val="000000" w:themeColor="text1"/>
          <w:sz w:val="24"/>
          <w:szCs w:val="24"/>
          <w14:textFill>
            <w14:solidFill>
              <w14:schemeClr w14:val="tx1"/>
            </w14:solidFill>
          </w14:textFill>
        </w:rPr>
        <w:t>供应商签署的授权委托书。授权委托书应载明代理人的姓名或者名称、代理事项、具体权限、期限和相关事项。</w:t>
      </w:r>
    </w:p>
    <w:p w14:paraId="438F8B10">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3.质疑供应商若对项目的某一分包进行质疑，质疑函中应列明具体分包号。</w:t>
      </w:r>
    </w:p>
    <w:p w14:paraId="74D6BC1A">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4.质疑函的质疑事项应具体、明确，并有必要的事实依据和法律依据。</w:t>
      </w:r>
    </w:p>
    <w:p w14:paraId="6CFB22BC">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5.质疑函的质疑请求应与质疑事项相关。</w:t>
      </w:r>
    </w:p>
    <w:p w14:paraId="797078B6">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color w:val="000000" w:themeColor="text1"/>
          <w:sz w:val="24"/>
          <w:szCs w:val="24"/>
          <w14:textFill>
            <w14:solidFill>
              <w14:schemeClr w14:val="tx1"/>
            </w14:solidFill>
          </w14:textFill>
        </w:rPr>
        <w:t>。</w:t>
      </w:r>
    </w:p>
    <w:p w14:paraId="6AD3C60A">
      <w:pPr>
        <w:widowControl/>
        <w:spacing w:line="360" w:lineRule="auto"/>
        <w:jc w:val="left"/>
        <w:rPr>
          <w:rFonts w:ascii="Times New Roman" w:hAnsi="Times New Roman" w:cs="宋体"/>
          <w:color w:val="000000" w:themeColor="text1"/>
          <w:sz w:val="24"/>
          <w:szCs w:val="24"/>
          <w14:textFill>
            <w14:solidFill>
              <w14:schemeClr w14:val="tx1"/>
            </w14:solidFill>
          </w14:textFill>
        </w:rPr>
      </w:pPr>
    </w:p>
    <w:p w14:paraId="59616B70">
      <w:pPr>
        <w:spacing w:line="360" w:lineRule="auto"/>
        <w:jc w:val="center"/>
        <w:outlineLvl w:val="0"/>
        <w:rPr>
          <w:rFonts w:ascii="Times New Roman" w:hAnsi="Times New Roman"/>
          <w:b/>
          <w:color w:val="000000" w:themeColor="text1"/>
          <w:sz w:val="44"/>
          <w14:textFill>
            <w14:solidFill>
              <w14:schemeClr w14:val="tx1"/>
            </w14:solidFill>
          </w14:textFill>
        </w:rPr>
      </w:pPr>
      <w:r>
        <w:rPr>
          <w:rFonts w:ascii="Times New Roman" w:hAnsi="Times New Roman"/>
          <w:b/>
          <w:color w:val="000000" w:themeColor="text1"/>
          <w:sz w:val="44"/>
          <w:szCs w:val="44"/>
          <w14:textFill>
            <w14:solidFill>
              <w14:schemeClr w14:val="tx1"/>
            </w14:solidFill>
          </w14:textFill>
        </w:rPr>
        <w:br w:type="page" w:clear="all"/>
      </w:r>
      <w:r>
        <w:rPr>
          <w:rFonts w:hint="eastAsia" w:ascii="Times New Roman" w:hAnsi="Times New Roman"/>
          <w:b/>
          <w:color w:val="000000" w:themeColor="text1"/>
          <w:sz w:val="44"/>
          <w:szCs w:val="44"/>
          <w14:textFill>
            <w14:solidFill>
              <w14:schemeClr w14:val="tx1"/>
            </w14:solidFill>
          </w14:textFill>
        </w:rPr>
        <w:t>第八章 响应文件组成及格式</w:t>
      </w:r>
    </w:p>
    <w:p w14:paraId="096380A2">
      <w:pPr>
        <w:adjustRightInd w:val="0"/>
        <w:snapToGrid w:val="0"/>
        <w:spacing w:line="360" w:lineRule="auto"/>
        <w:ind w:firstLine="555"/>
        <w:jc w:val="left"/>
        <w:rPr>
          <w:rFonts w:hint="eastAsia" w:ascii="宋体" w:hAnsi="宋体"/>
          <w:b/>
          <w:color w:val="000000" w:themeColor="text1"/>
          <w:kern w:val="2"/>
          <w:sz w:val="24"/>
          <w:szCs w:val="24"/>
          <w14:textFill>
            <w14:solidFill>
              <w14:schemeClr w14:val="tx1"/>
            </w14:solidFill>
          </w14:textFill>
        </w:rPr>
      </w:pPr>
      <w:r>
        <w:rPr>
          <w:rFonts w:ascii="宋体" w:hAnsi="宋体"/>
          <w:b/>
          <w:color w:val="000000" w:themeColor="text1"/>
          <w:kern w:val="2"/>
          <w:sz w:val="24"/>
          <w:szCs w:val="24"/>
          <w14:textFill>
            <w14:solidFill>
              <w14:schemeClr w14:val="tx1"/>
            </w14:solidFill>
          </w14:textFill>
        </w:rPr>
        <w:t>响应文件由资格审查</w:t>
      </w:r>
      <w:r>
        <w:rPr>
          <w:rFonts w:hint="eastAsia" w:ascii="宋体" w:hAnsi="宋体"/>
          <w:b/>
          <w:color w:val="000000" w:themeColor="text1"/>
          <w:kern w:val="2"/>
          <w:sz w:val="24"/>
          <w:szCs w:val="24"/>
          <w14:textFill>
            <w14:solidFill>
              <w14:schemeClr w14:val="tx1"/>
            </w14:solidFill>
          </w14:textFill>
        </w:rPr>
        <w:t>文件</w:t>
      </w:r>
      <w:r>
        <w:rPr>
          <w:rFonts w:ascii="宋体" w:hAnsi="宋体"/>
          <w:b/>
          <w:color w:val="000000" w:themeColor="text1"/>
          <w:kern w:val="2"/>
          <w:sz w:val="24"/>
          <w:szCs w:val="24"/>
          <w14:textFill>
            <w14:solidFill>
              <w14:schemeClr w14:val="tx1"/>
            </w14:solidFill>
          </w14:textFill>
        </w:rPr>
        <w:t>、商务技术</w:t>
      </w:r>
      <w:r>
        <w:rPr>
          <w:rFonts w:hint="eastAsia" w:ascii="宋体" w:hAnsi="宋体"/>
          <w:b/>
          <w:color w:val="000000" w:themeColor="text1"/>
          <w:kern w:val="2"/>
          <w:sz w:val="24"/>
          <w:szCs w:val="24"/>
          <w14:textFill>
            <w14:solidFill>
              <w14:schemeClr w14:val="tx1"/>
            </w14:solidFill>
          </w14:textFill>
        </w:rPr>
        <w:t>响应</w:t>
      </w:r>
      <w:r>
        <w:rPr>
          <w:rFonts w:ascii="宋体" w:hAnsi="宋体"/>
          <w:b/>
          <w:color w:val="000000" w:themeColor="text1"/>
          <w:kern w:val="2"/>
          <w:sz w:val="24"/>
          <w:szCs w:val="24"/>
          <w14:textFill>
            <w14:solidFill>
              <w14:schemeClr w14:val="tx1"/>
            </w14:solidFill>
          </w14:textFill>
        </w:rPr>
        <w:t>文件、</w:t>
      </w:r>
      <w:r>
        <w:rPr>
          <w:rFonts w:hint="eastAsia" w:ascii="宋体" w:hAnsi="宋体"/>
          <w:b/>
          <w:color w:val="000000" w:themeColor="text1"/>
          <w:kern w:val="2"/>
          <w:sz w:val="24"/>
          <w:szCs w:val="24"/>
          <w14:textFill>
            <w14:solidFill>
              <w14:schemeClr w14:val="tx1"/>
            </w14:solidFill>
          </w14:textFill>
        </w:rPr>
        <w:t>报价响应</w:t>
      </w:r>
      <w:r>
        <w:rPr>
          <w:rFonts w:ascii="宋体" w:hAnsi="宋体"/>
          <w:b/>
          <w:color w:val="000000" w:themeColor="text1"/>
          <w:kern w:val="2"/>
          <w:sz w:val="24"/>
          <w:szCs w:val="24"/>
          <w14:textFill>
            <w14:solidFill>
              <w14:schemeClr w14:val="tx1"/>
            </w14:solidFill>
          </w14:textFill>
        </w:rPr>
        <w:t>文件三部分组成。</w:t>
      </w:r>
      <w:r>
        <w:rPr>
          <w:rFonts w:ascii="宋体" w:hAnsi="宋体"/>
          <w:b/>
          <w:bCs/>
          <w:color w:val="000000" w:themeColor="text1"/>
          <w:sz w:val="24"/>
          <w:szCs w:val="24"/>
          <w:lang w:val="zh-CN"/>
          <w14:textFill>
            <w14:solidFill>
              <w14:schemeClr w14:val="tx1"/>
            </w14:solidFill>
          </w14:textFill>
        </w:rPr>
        <w:t>请供应商根据本磋商文件的要求分别</w:t>
      </w:r>
      <w:r>
        <w:rPr>
          <w:rFonts w:hint="eastAsia" w:ascii="宋体" w:hAnsi="宋体"/>
          <w:b/>
          <w:bCs/>
          <w:color w:val="000000" w:themeColor="text1"/>
          <w:sz w:val="24"/>
          <w:szCs w:val="24"/>
          <w:lang w:val="zh-CN"/>
          <w14:textFill>
            <w14:solidFill>
              <w14:schemeClr w14:val="tx1"/>
            </w14:solidFill>
          </w14:textFill>
        </w:rPr>
        <w:t>制作、密封</w:t>
      </w:r>
      <w:r>
        <w:rPr>
          <w:rFonts w:ascii="宋体" w:hAnsi="宋体"/>
          <w:b/>
          <w:bCs/>
          <w:color w:val="000000" w:themeColor="text1"/>
          <w:sz w:val="24"/>
          <w:szCs w:val="24"/>
          <w:lang w:val="zh-CN"/>
          <w14:textFill>
            <w14:solidFill>
              <w14:schemeClr w14:val="tx1"/>
            </w14:solidFill>
          </w14:textFill>
        </w:rPr>
        <w:t>响应的材料。</w:t>
      </w:r>
    </w:p>
    <w:p w14:paraId="494A6B44">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一、资格审查</w:t>
      </w:r>
      <w:r>
        <w:rPr>
          <w:rFonts w:hint="eastAsia" w:ascii="宋体" w:hAnsi="宋体"/>
          <w:b/>
          <w:bCs/>
          <w:color w:val="000000" w:themeColor="text1"/>
          <w:sz w:val="24"/>
          <w:szCs w:val="24"/>
          <w:lang w:val="zh-CN"/>
          <w14:textFill>
            <w14:solidFill>
              <w14:schemeClr w14:val="tx1"/>
            </w14:solidFill>
          </w14:textFill>
        </w:rPr>
        <w:t>文件</w:t>
      </w:r>
      <w:r>
        <w:rPr>
          <w:rFonts w:ascii="宋体" w:hAnsi="宋体"/>
          <w:b/>
          <w:bCs/>
          <w:color w:val="000000" w:themeColor="text1"/>
          <w:sz w:val="24"/>
          <w:szCs w:val="24"/>
          <w:lang w:val="zh-CN"/>
          <w14:textFill>
            <w14:solidFill>
              <w14:schemeClr w14:val="tx1"/>
            </w14:solidFill>
          </w14:textFill>
        </w:rPr>
        <w:t>（</w:t>
      </w:r>
      <w:r>
        <w:rPr>
          <w:rFonts w:hint="eastAsia" w:ascii="宋体" w:hAnsi="宋体"/>
          <w:b/>
          <w:bCs/>
          <w:color w:val="000000" w:themeColor="text1"/>
          <w:sz w:val="24"/>
          <w:szCs w:val="24"/>
          <w:lang w:val="zh-CN"/>
          <w14:textFill>
            <w14:solidFill>
              <w14:schemeClr w14:val="tx1"/>
            </w14:solidFill>
          </w14:textFill>
        </w:rPr>
        <w:t>单独密封，</w:t>
      </w:r>
      <w:r>
        <w:rPr>
          <w:rFonts w:ascii="宋体" w:hAnsi="宋体"/>
          <w:b/>
          <w:bCs/>
          <w:color w:val="000000" w:themeColor="text1"/>
          <w:sz w:val="24"/>
          <w:szCs w:val="24"/>
          <w:lang w:val="zh-CN"/>
          <w14:textFill>
            <w14:solidFill>
              <w14:schemeClr w14:val="tx1"/>
            </w14:solidFill>
          </w14:textFill>
        </w:rPr>
        <w:t>不能出现</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的内容</w:t>
      </w:r>
      <w:r>
        <w:rPr>
          <w:rFonts w:ascii="宋体" w:hAnsi="宋体"/>
          <w:b/>
          <w:bCs/>
          <w:color w:val="000000" w:themeColor="text1"/>
          <w:sz w:val="24"/>
          <w:szCs w:val="24"/>
          <w:lang w:val="zh-CN"/>
          <w14:textFill>
            <w14:solidFill>
              <w14:schemeClr w14:val="tx1"/>
            </w14:solidFill>
          </w14:textFill>
        </w:rPr>
        <w:t>）</w:t>
      </w:r>
    </w:p>
    <w:p w14:paraId="62A6B5B1">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格式见附件）；</w:t>
      </w:r>
    </w:p>
    <w:p w14:paraId="03958A0D">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2.供应商须提供《营业执照》的复印件或扫描打印件（加盖供应商公章）；</w:t>
      </w:r>
    </w:p>
    <w:p w14:paraId="01B6B875">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3.法定代表人身份证明书（格式见附件）及法定代表人授权委托书（如有授权，格式见附件）；</w:t>
      </w:r>
    </w:p>
    <w:p w14:paraId="056DE87E">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4.供应商须提供《供应商信用承诺书》（格式见附件）；</w:t>
      </w:r>
    </w:p>
    <w:p w14:paraId="70AAE510">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5.本项目为专门面向中小企业采购项目。须按照财库【2020】46号文要求提供中小企业声明函或残疾人福利性单位声明函或监狱和戒毒企业证明材料（格式见附件）；</w:t>
      </w:r>
    </w:p>
    <w:p w14:paraId="3F1A27BA">
      <w:pPr>
        <w:widowControl/>
        <w:snapToGrid w:val="0"/>
        <w:spacing w:line="336" w:lineRule="auto"/>
        <w:ind w:firstLine="480" w:firstLineChars="200"/>
        <w:jc w:val="left"/>
        <w:rPr>
          <w:rFonts w:hint="eastAsia" w:ascii="宋体" w:hAnsi="宋体"/>
          <w:color w:val="000000" w:themeColor="text1"/>
          <w:kern w:val="2"/>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6.其他需要提交的资格审查证明材料。</w:t>
      </w:r>
    </w:p>
    <w:p w14:paraId="077D5CC2">
      <w:pPr>
        <w:snapToGrid w:val="0"/>
        <w:spacing w:line="360" w:lineRule="auto"/>
        <w:ind w:firstLine="482" w:firstLineChars="200"/>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注：以上材料如为复印件或扫描打印件均需加盖单位公章。</w:t>
      </w:r>
      <w:r>
        <w:rPr>
          <w:rFonts w:hint="eastAsia" w:ascii="宋体" w:hAnsi="宋体" w:cs="宋体"/>
          <w:color w:val="000000" w:themeColor="text1"/>
          <w:kern w:val="2"/>
          <w:sz w:val="24"/>
          <w:szCs w:val="24"/>
          <w14:textFill>
            <w14:solidFill>
              <w14:schemeClr w14:val="tx1"/>
            </w14:solidFill>
          </w14:textFill>
        </w:rPr>
        <w:t xml:space="preserve"> </w:t>
      </w:r>
    </w:p>
    <w:p w14:paraId="6F5C25E3">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二、商务技术</w:t>
      </w:r>
      <w:r>
        <w:rPr>
          <w:rFonts w:hint="eastAsia" w:ascii="宋体" w:hAnsi="宋体"/>
          <w:b/>
          <w:bCs/>
          <w:color w:val="000000" w:themeColor="text1"/>
          <w:sz w:val="24"/>
          <w:szCs w:val="24"/>
          <w:lang w:val="zh-CN"/>
          <w14:textFill>
            <w14:solidFill>
              <w14:schemeClr w14:val="tx1"/>
            </w14:solidFill>
          </w14:textFill>
        </w:rPr>
        <w:t>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单独密封，</w:t>
      </w:r>
      <w:r>
        <w:rPr>
          <w:rFonts w:ascii="宋体" w:hAnsi="宋体"/>
          <w:b/>
          <w:bCs/>
          <w:color w:val="000000" w:themeColor="text1"/>
          <w:sz w:val="24"/>
          <w:szCs w:val="24"/>
          <w:lang w:val="zh-CN"/>
          <w14:textFill>
            <w14:solidFill>
              <w14:schemeClr w14:val="tx1"/>
            </w14:solidFill>
          </w14:textFill>
        </w:rPr>
        <w:t>不能出现</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的内容</w:t>
      </w:r>
      <w:r>
        <w:rPr>
          <w:rFonts w:ascii="宋体" w:hAnsi="宋体"/>
          <w:b/>
          <w:bCs/>
          <w:color w:val="000000" w:themeColor="text1"/>
          <w:sz w:val="24"/>
          <w:szCs w:val="24"/>
          <w:lang w:val="zh-CN"/>
          <w14:textFill>
            <w14:solidFill>
              <w14:schemeClr w14:val="tx1"/>
            </w14:solidFill>
          </w14:textFill>
        </w:rPr>
        <w:t>）</w:t>
      </w:r>
    </w:p>
    <w:p w14:paraId="3D266422">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ascii="宋体" w:hAnsi="宋体"/>
          <w:bCs/>
          <w:color w:val="000000" w:themeColor="text1"/>
          <w:sz w:val="24"/>
          <w:szCs w:val="24"/>
          <w:lang w:val="zh-CN"/>
          <w14:textFill>
            <w14:solidFill>
              <w14:schemeClr w14:val="tx1"/>
            </w14:solidFill>
          </w14:textFill>
        </w:rPr>
        <w:t>1.商务部分正负偏离表（格式见附件）；</w:t>
      </w:r>
    </w:p>
    <w:p w14:paraId="04DC5122">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zh-CN"/>
          <w14:textFill>
            <w14:solidFill>
              <w14:schemeClr w14:val="tx1"/>
            </w14:solidFill>
          </w14:textFill>
        </w:rPr>
        <w:t>2</w:t>
      </w:r>
      <w:r>
        <w:rPr>
          <w:rFonts w:ascii="宋体" w:hAnsi="宋体"/>
          <w:bCs/>
          <w:color w:val="000000" w:themeColor="text1"/>
          <w:sz w:val="24"/>
          <w:szCs w:val="24"/>
          <w:lang w:val="zh-CN"/>
          <w14:textFill>
            <w14:solidFill>
              <w14:schemeClr w14:val="tx1"/>
            </w14:solidFill>
          </w14:textFill>
        </w:rPr>
        <w:t>.技术部分正负偏离表（格式见附件）；</w:t>
      </w:r>
    </w:p>
    <w:p w14:paraId="13214498">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zh-CN"/>
          <w14:textFill>
            <w14:solidFill>
              <w14:schemeClr w14:val="tx1"/>
            </w14:solidFill>
          </w14:textFill>
        </w:rPr>
        <w:t>3</w:t>
      </w:r>
      <w:r>
        <w:rPr>
          <w:rFonts w:ascii="宋体" w:hAnsi="宋体"/>
          <w:bCs/>
          <w:color w:val="000000" w:themeColor="text1"/>
          <w:sz w:val="24"/>
          <w:szCs w:val="24"/>
          <w:lang w:val="zh-CN"/>
          <w14:textFill>
            <w14:solidFill>
              <w14:schemeClr w14:val="tx1"/>
            </w14:solidFill>
          </w14:textFill>
        </w:rPr>
        <w:t>.商务技术评分标准中须提供的相关得分佐证材料；</w:t>
      </w:r>
    </w:p>
    <w:p w14:paraId="7E513A61">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zh-CN"/>
          <w14:textFill>
            <w14:solidFill>
              <w14:schemeClr w14:val="tx1"/>
            </w14:solidFill>
          </w14:textFill>
        </w:rPr>
        <w:t>4</w:t>
      </w:r>
      <w:r>
        <w:rPr>
          <w:rFonts w:ascii="宋体" w:hAnsi="宋体"/>
          <w:bCs/>
          <w:color w:val="000000" w:themeColor="text1"/>
          <w:sz w:val="24"/>
          <w:szCs w:val="24"/>
          <w:lang w:val="zh-CN"/>
          <w14:textFill>
            <w14:solidFill>
              <w14:schemeClr w14:val="tx1"/>
            </w14:solidFill>
          </w14:textFill>
        </w:rPr>
        <w:t>.供应商认为需要提交的其他商务技术材料。</w:t>
      </w:r>
    </w:p>
    <w:p w14:paraId="0D39A02A">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三、</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p>
    <w:p w14:paraId="76C227B9">
      <w:pPr>
        <w:spacing w:line="360" w:lineRule="auto"/>
        <w:ind w:firstLine="480"/>
        <w:rPr>
          <w:rFonts w:hint="eastAsia" w:ascii="宋体" w:hAnsi="宋体"/>
          <w:color w:val="000000" w:themeColor="text1"/>
          <w:sz w:val="24"/>
          <w:szCs w:val="24"/>
          <w:lang w:val="zh-CN"/>
          <w14:textFill>
            <w14:solidFill>
              <w14:schemeClr w14:val="tx1"/>
            </w14:solidFill>
          </w14:textFill>
        </w:rPr>
      </w:pPr>
      <w:r>
        <w:rPr>
          <w:rFonts w:ascii="宋体" w:hAnsi="宋体"/>
          <w:color w:val="000000" w:themeColor="text1"/>
          <w:sz w:val="24"/>
          <w:szCs w:val="24"/>
          <w:lang w:val="zh-CN"/>
          <w14:textFill>
            <w14:solidFill>
              <w14:schemeClr w14:val="tx1"/>
            </w14:solidFill>
          </w14:textFill>
        </w:rPr>
        <w:t>1.</w:t>
      </w:r>
      <w:r>
        <w:rPr>
          <w:rFonts w:ascii="宋体" w:hAnsi="宋体"/>
          <w:color w:val="000000" w:themeColor="text1"/>
          <w:sz w:val="24"/>
          <w:szCs w:val="24"/>
          <w14:textFill>
            <w14:solidFill>
              <w14:schemeClr w14:val="tx1"/>
            </w14:solidFill>
          </w14:textFill>
        </w:rPr>
        <w:t>报价总表</w:t>
      </w:r>
      <w:r>
        <w:rPr>
          <w:rFonts w:ascii="宋体" w:hAnsi="宋体"/>
          <w:color w:val="000000" w:themeColor="text1"/>
          <w:sz w:val="24"/>
          <w:szCs w:val="24"/>
          <w:lang w:val="zh-CN"/>
          <w14:textFill>
            <w14:solidFill>
              <w14:schemeClr w14:val="tx1"/>
            </w14:solidFill>
          </w14:textFill>
        </w:rPr>
        <w:t>（格式见附件）</w:t>
      </w:r>
      <w:r>
        <w:rPr>
          <w:rFonts w:hint="eastAsia" w:ascii="宋体" w:hAnsi="宋体"/>
          <w:color w:val="000000" w:themeColor="text1"/>
          <w:sz w:val="24"/>
          <w:szCs w:val="24"/>
          <w:lang w:val="zh-CN"/>
          <w14:textFill>
            <w14:solidFill>
              <w14:schemeClr w14:val="tx1"/>
            </w14:solidFill>
          </w14:textFill>
        </w:rPr>
        <w:t>。</w:t>
      </w:r>
    </w:p>
    <w:p w14:paraId="0BC40406">
      <w:pPr>
        <w:spacing w:line="360" w:lineRule="auto"/>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2.响应报价明细表</w:t>
      </w:r>
      <w:r>
        <w:rPr>
          <w:rFonts w:ascii="宋体" w:hAnsi="宋体"/>
          <w:color w:val="000000" w:themeColor="text1"/>
          <w:sz w:val="24"/>
          <w:szCs w:val="24"/>
          <w:lang w:val="zh-CN"/>
          <w14:textFill>
            <w14:solidFill>
              <w14:schemeClr w14:val="tx1"/>
            </w14:solidFill>
          </w14:textFill>
        </w:rPr>
        <w:t>（格式见附件）</w:t>
      </w:r>
    </w:p>
    <w:p w14:paraId="30351D84">
      <w:pPr>
        <w:snapToGrid w:val="0"/>
        <w:spacing w:line="400" w:lineRule="exact"/>
        <w:contextualSpacing/>
        <w:rPr>
          <w:rFonts w:hint="eastAsia" w:ascii="宋体" w:hAnsi="宋体"/>
          <w:color w:val="000000" w:themeColor="text1"/>
          <w:sz w:val="32"/>
          <w:szCs w:val="32"/>
          <w:lang w:val="zh-CN"/>
          <w14:textFill>
            <w14:solidFill>
              <w14:schemeClr w14:val="tx1"/>
            </w14:solidFill>
          </w14:textFill>
        </w:rPr>
      </w:pPr>
      <w:r>
        <w:rPr>
          <w:rFonts w:ascii="宋体" w:hAnsi="宋体"/>
          <w:color w:val="000000" w:themeColor="text1"/>
          <w:sz w:val="32"/>
          <w:szCs w:val="32"/>
          <w:lang w:val="zh-CN"/>
          <w14:textFill>
            <w14:solidFill>
              <w14:schemeClr w14:val="tx1"/>
            </w14:solidFill>
          </w14:textFill>
        </w:rPr>
        <w:br w:type="page"/>
      </w:r>
      <w:r>
        <w:rPr>
          <w:rFonts w:ascii="宋体" w:hAnsi="宋体"/>
          <w:color w:val="000000" w:themeColor="text1"/>
          <w:sz w:val="32"/>
          <w:szCs w:val="32"/>
          <w:lang w:val="zh-CN"/>
          <w14:textFill>
            <w14:solidFill>
              <w14:schemeClr w14:val="tx1"/>
            </w14:solidFill>
          </w14:textFill>
        </w:rPr>
        <w:t>附件</w:t>
      </w:r>
    </w:p>
    <w:p w14:paraId="00BA0D59">
      <w:pPr>
        <w:adjustRightInd w:val="0"/>
        <w:snapToGrid w:val="0"/>
        <w:spacing w:line="420" w:lineRule="exact"/>
        <w:jc w:val="center"/>
        <w:rPr>
          <w:rFonts w:ascii="Times New Roman" w:hAnsi="Times New Roman"/>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（封面）</w:t>
      </w:r>
    </w:p>
    <w:p w14:paraId="7C9ED23D">
      <w:pPr>
        <w:spacing w:before="240" w:beforeLines="100" w:line="360" w:lineRule="exact"/>
        <w:jc w:val="center"/>
        <w:rPr>
          <w:rFonts w:ascii="Times New Roman" w:hAnsi="Times New Roman"/>
          <w:color w:val="000000" w:themeColor="text1"/>
          <w:w w:val="80"/>
          <w:kern w:val="44"/>
          <w:sz w:val="36"/>
          <w:szCs w:val="36"/>
          <w14:textFill>
            <w14:solidFill>
              <w14:schemeClr w14:val="tx1"/>
            </w14:solidFill>
          </w14:textFill>
        </w:rPr>
      </w:pPr>
    </w:p>
    <w:p w14:paraId="73F4763A">
      <w:pPr>
        <w:spacing w:before="240" w:beforeLines="100" w:line="360" w:lineRule="exact"/>
        <w:jc w:val="center"/>
        <w:rPr>
          <w:rFonts w:ascii="Times New Roman" w:hAnsi="Times New Roman"/>
          <w:color w:val="000000" w:themeColor="text1"/>
          <w:w w:val="80"/>
          <w:kern w:val="44"/>
          <w:sz w:val="36"/>
          <w:szCs w:val="36"/>
          <w14:textFill>
            <w14:solidFill>
              <w14:schemeClr w14:val="tx1"/>
            </w14:solidFill>
          </w14:textFill>
        </w:rPr>
      </w:pPr>
    </w:p>
    <w:p w14:paraId="3B38F793">
      <w:pPr>
        <w:spacing w:line="360" w:lineRule="auto"/>
        <w:jc w:val="center"/>
        <w:rPr>
          <w:rFonts w:ascii="Times New Roman" w:hAnsi="Times New Roman" w:cs="宋体"/>
          <w:b/>
          <w:bCs/>
          <w:color w:val="000000" w:themeColor="text1"/>
          <w:kern w:val="2"/>
          <w:sz w:val="32"/>
          <w:szCs w:val="32"/>
          <w14:textFill>
            <w14:solidFill>
              <w14:schemeClr w14:val="tx1"/>
            </w14:solidFill>
          </w14:textFill>
        </w:rPr>
      </w:pPr>
      <w:r>
        <w:rPr>
          <w:rFonts w:hint="eastAsia" w:ascii="Times New Roman" w:hAnsi="Times New Roman" w:cs="宋体"/>
          <w:b/>
          <w:bCs/>
          <w:color w:val="000000" w:themeColor="text1"/>
          <w:kern w:val="2"/>
          <w:sz w:val="32"/>
          <w:szCs w:val="32"/>
          <w14:textFill>
            <w14:solidFill>
              <w14:schemeClr w14:val="tx1"/>
            </w14:solidFill>
          </w14:textFill>
        </w:rPr>
        <w:t>南通市近岸海域水质调查与治理评估项目</w:t>
      </w:r>
    </w:p>
    <w:p w14:paraId="3DD189EA">
      <w:pPr>
        <w:spacing w:line="360" w:lineRule="auto"/>
        <w:jc w:val="center"/>
        <w:rPr>
          <w:rFonts w:ascii="Times New Roman" w:hAnsi="Times New Roman" w:cs="宋体"/>
          <w:b/>
          <w:bCs/>
          <w:color w:val="000000" w:themeColor="text1"/>
          <w:kern w:val="2"/>
          <w:sz w:val="32"/>
          <w:szCs w:val="32"/>
          <w14:textFill>
            <w14:solidFill>
              <w14:schemeClr w14:val="tx1"/>
            </w14:solidFill>
          </w14:textFill>
        </w:rPr>
      </w:pPr>
    </w:p>
    <w:p w14:paraId="137E83BE">
      <w:pPr>
        <w:spacing w:line="360" w:lineRule="auto"/>
        <w:jc w:val="center"/>
        <w:rPr>
          <w:rFonts w:ascii="Times New Roman" w:hAnsi="Times New Roman" w:cs="宋体"/>
          <w:b/>
          <w:bCs/>
          <w:color w:val="000000" w:themeColor="text1"/>
          <w:kern w:val="2"/>
          <w:sz w:val="32"/>
          <w:szCs w:val="32"/>
          <w14:textFill>
            <w14:solidFill>
              <w14:schemeClr w14:val="tx1"/>
            </w14:solidFill>
          </w14:textFill>
        </w:rPr>
      </w:pPr>
      <w:r>
        <w:rPr>
          <w:rFonts w:hint="eastAsia" w:ascii="Times New Roman" w:hAnsi="Times New Roman" w:cs="宋体"/>
          <w:b/>
          <w:bCs/>
          <w:color w:val="000000" w:themeColor="text1"/>
          <w:kern w:val="2"/>
          <w:sz w:val="32"/>
          <w:szCs w:val="32"/>
          <w14:textFill>
            <w14:solidFill>
              <w14:schemeClr w14:val="tx1"/>
            </w14:solidFill>
          </w14:textFill>
        </w:rPr>
        <w:t>项目编号：WY-20260128-010</w:t>
      </w:r>
    </w:p>
    <w:p w14:paraId="7790D27B">
      <w:pPr>
        <w:spacing w:line="360" w:lineRule="auto"/>
        <w:jc w:val="center"/>
        <w:rPr>
          <w:rFonts w:ascii="Times New Roman" w:hAnsi="Times New Roman" w:cs="宋体"/>
          <w:b/>
          <w:bCs/>
          <w:color w:val="000000" w:themeColor="text1"/>
          <w:kern w:val="2"/>
          <w:sz w:val="36"/>
          <w:szCs w:val="36"/>
          <w14:textFill>
            <w14:solidFill>
              <w14:schemeClr w14:val="tx1"/>
            </w14:solidFill>
          </w14:textFill>
        </w:rPr>
      </w:pPr>
    </w:p>
    <w:p w14:paraId="09E7BD4F">
      <w:pPr>
        <w:spacing w:line="360" w:lineRule="auto"/>
        <w:jc w:val="center"/>
        <w:rPr>
          <w:rFonts w:ascii="Times New Roman" w:hAnsi="Times New Roman" w:cs="宋体"/>
          <w:b/>
          <w:bCs/>
          <w:color w:val="000000" w:themeColor="text1"/>
          <w:kern w:val="2"/>
          <w:sz w:val="36"/>
          <w:szCs w:val="36"/>
          <w14:textFill>
            <w14:solidFill>
              <w14:schemeClr w14:val="tx1"/>
            </w14:solidFill>
          </w14:textFill>
        </w:rPr>
      </w:pPr>
    </w:p>
    <w:p w14:paraId="1A5646A9">
      <w:pPr>
        <w:spacing w:line="360" w:lineRule="auto"/>
        <w:jc w:val="center"/>
        <w:rPr>
          <w:rFonts w:ascii="Times New Roman" w:hAnsi="Times New Roman"/>
          <w:b/>
          <w:bCs/>
          <w:color w:val="000000" w:themeColor="text1"/>
          <w:kern w:val="2"/>
          <w:sz w:val="36"/>
          <w:szCs w:val="36"/>
          <w14:textFill>
            <w14:solidFill>
              <w14:schemeClr w14:val="tx1"/>
            </w14:solidFill>
          </w14:textFill>
        </w:rPr>
      </w:pPr>
      <w:r>
        <w:rPr>
          <w:rFonts w:hint="eastAsia" w:ascii="Times New Roman" w:hAnsi="Times New Roman" w:cs="宋体"/>
          <w:b/>
          <w:bCs/>
          <w:color w:val="000000" w:themeColor="text1"/>
          <w:kern w:val="2"/>
          <w:sz w:val="36"/>
          <w:szCs w:val="36"/>
          <w14:textFill>
            <w14:solidFill>
              <w14:schemeClr w14:val="tx1"/>
            </w14:solidFill>
          </w14:textFill>
        </w:rPr>
        <w:t>竞争性磋商响应文件</w:t>
      </w:r>
    </w:p>
    <w:p w14:paraId="7AE17564">
      <w:pPr>
        <w:spacing w:line="520" w:lineRule="exact"/>
        <w:jc w:val="center"/>
        <w:rPr>
          <w:rFonts w:ascii="Times New Roman" w:hAnsi="Times New Roman"/>
          <w:color w:val="000000" w:themeColor="text1"/>
          <w:kern w:val="2"/>
          <w:sz w:val="36"/>
          <w:szCs w:val="36"/>
          <w14:textFill>
            <w14:solidFill>
              <w14:schemeClr w14:val="tx1"/>
            </w14:solidFill>
          </w14:textFill>
        </w:rPr>
      </w:pPr>
    </w:p>
    <w:p w14:paraId="36617FC7">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对应竞争性磋商响应文件，相应填写：资格审查文件</w:t>
      </w:r>
    </w:p>
    <w:p w14:paraId="556FD846">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商务技术响应文件</w:t>
      </w:r>
    </w:p>
    <w:p w14:paraId="3EC8CD3F">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报价响应文件</w:t>
      </w:r>
    </w:p>
    <w:p w14:paraId="3876BF3B">
      <w:pPr>
        <w:spacing w:line="360" w:lineRule="exact"/>
        <w:jc w:val="center"/>
        <w:rPr>
          <w:rFonts w:ascii="Times New Roman" w:hAnsi="Times New Roman"/>
          <w:color w:val="000000" w:themeColor="text1"/>
          <w:kern w:val="2"/>
          <w:szCs w:val="21"/>
          <w14:textFill>
            <w14:solidFill>
              <w14:schemeClr w14:val="tx1"/>
            </w14:solidFill>
          </w14:textFill>
        </w:rPr>
      </w:pPr>
    </w:p>
    <w:p w14:paraId="3E931001">
      <w:pPr>
        <w:spacing w:line="360" w:lineRule="exact"/>
        <w:jc w:val="center"/>
        <w:rPr>
          <w:rFonts w:ascii="Times New Roman" w:hAnsi="Times New Roman"/>
          <w:color w:val="000000" w:themeColor="text1"/>
          <w:kern w:val="2"/>
          <w:sz w:val="28"/>
          <w:szCs w:val="28"/>
          <w14:textFill>
            <w14:solidFill>
              <w14:schemeClr w14:val="tx1"/>
            </w14:solidFill>
          </w14:textFill>
        </w:rPr>
      </w:pPr>
    </w:p>
    <w:p w14:paraId="2AD9BA7A">
      <w:pPr>
        <w:spacing w:line="360" w:lineRule="exact"/>
        <w:jc w:val="center"/>
        <w:rPr>
          <w:rFonts w:ascii="Times New Roman" w:hAnsi="Times New Roman"/>
          <w:color w:val="000000" w:themeColor="text1"/>
          <w:kern w:val="2"/>
          <w:szCs w:val="21"/>
          <w14:textFill>
            <w14:solidFill>
              <w14:schemeClr w14:val="tx1"/>
            </w14:solidFill>
          </w14:textFill>
        </w:rPr>
      </w:pPr>
    </w:p>
    <w:p w14:paraId="7DD39210">
      <w:pPr>
        <w:spacing w:line="360" w:lineRule="exact"/>
        <w:jc w:val="center"/>
        <w:rPr>
          <w:rFonts w:ascii="Times New Roman" w:hAnsi="Times New Roman"/>
          <w:color w:val="000000" w:themeColor="text1"/>
          <w:kern w:val="2"/>
          <w:szCs w:val="21"/>
          <w14:textFill>
            <w14:solidFill>
              <w14:schemeClr w14:val="tx1"/>
            </w14:solidFill>
          </w14:textFill>
        </w:rPr>
      </w:pPr>
    </w:p>
    <w:p w14:paraId="38977569">
      <w:pPr>
        <w:spacing w:line="360" w:lineRule="exact"/>
        <w:jc w:val="center"/>
        <w:rPr>
          <w:rFonts w:ascii="Times New Roman" w:hAnsi="Times New Roman"/>
          <w:color w:val="000000" w:themeColor="text1"/>
          <w:kern w:val="2"/>
          <w:szCs w:val="21"/>
          <w14:textFill>
            <w14:solidFill>
              <w14:schemeClr w14:val="tx1"/>
            </w14:solidFill>
          </w14:textFill>
        </w:rPr>
      </w:pPr>
    </w:p>
    <w:p w14:paraId="258011E4">
      <w:pPr>
        <w:spacing w:line="360" w:lineRule="exact"/>
        <w:jc w:val="center"/>
        <w:rPr>
          <w:rFonts w:ascii="Times New Roman" w:hAnsi="Times New Roman"/>
          <w:color w:val="000000" w:themeColor="text1"/>
          <w:kern w:val="2"/>
          <w:szCs w:val="21"/>
          <w14:textFill>
            <w14:solidFill>
              <w14:schemeClr w14:val="tx1"/>
            </w14:solidFill>
          </w14:textFill>
        </w:rPr>
      </w:pPr>
    </w:p>
    <w:p w14:paraId="3D3B1C03">
      <w:pPr>
        <w:spacing w:line="360" w:lineRule="exact"/>
        <w:jc w:val="center"/>
        <w:rPr>
          <w:rFonts w:ascii="Times New Roman" w:hAnsi="Times New Roman"/>
          <w:color w:val="000000" w:themeColor="text1"/>
          <w:kern w:val="2"/>
          <w:szCs w:val="21"/>
          <w14:textFill>
            <w14:solidFill>
              <w14:schemeClr w14:val="tx1"/>
            </w14:solidFill>
          </w14:textFill>
        </w:rPr>
      </w:pPr>
    </w:p>
    <w:p w14:paraId="1FAE842C">
      <w:pPr>
        <w:spacing w:line="360" w:lineRule="exact"/>
        <w:jc w:val="center"/>
        <w:rPr>
          <w:rFonts w:ascii="Times New Roman" w:hAnsi="Times New Roman"/>
          <w:color w:val="000000" w:themeColor="text1"/>
          <w:kern w:val="2"/>
          <w:szCs w:val="21"/>
          <w14:textFill>
            <w14:solidFill>
              <w14:schemeClr w14:val="tx1"/>
            </w14:solidFill>
          </w14:textFill>
        </w:rPr>
      </w:pPr>
    </w:p>
    <w:p w14:paraId="051140BD">
      <w:pPr>
        <w:spacing w:line="360" w:lineRule="exact"/>
        <w:jc w:val="center"/>
        <w:rPr>
          <w:rFonts w:ascii="Times New Roman" w:hAnsi="Times New Roman"/>
          <w:color w:val="000000" w:themeColor="text1"/>
          <w:kern w:val="2"/>
          <w:szCs w:val="21"/>
          <w14:textFill>
            <w14:solidFill>
              <w14:schemeClr w14:val="tx1"/>
            </w14:solidFill>
          </w14:textFill>
        </w:rPr>
      </w:pPr>
    </w:p>
    <w:p w14:paraId="01ED4158">
      <w:pPr>
        <w:rPr>
          <w:rFonts w:ascii="Times New Roman" w:hAnsi="Times New Roman"/>
          <w:color w:val="000000" w:themeColor="text1"/>
          <w:szCs w:val="21"/>
          <w14:textFill>
            <w14:solidFill>
              <w14:schemeClr w14:val="tx1"/>
            </w14:solidFill>
          </w14:textFill>
        </w:rPr>
      </w:pPr>
    </w:p>
    <w:p w14:paraId="05F086AB">
      <w:pPr>
        <w:spacing w:line="360" w:lineRule="exact"/>
        <w:jc w:val="center"/>
        <w:rPr>
          <w:rFonts w:ascii="Times New Roman" w:hAnsi="Times New Roman"/>
          <w:color w:val="000000" w:themeColor="text1"/>
          <w:kern w:val="2"/>
          <w:szCs w:val="21"/>
          <w14:textFill>
            <w14:solidFill>
              <w14:schemeClr w14:val="tx1"/>
            </w14:solidFill>
          </w14:textFill>
        </w:rPr>
      </w:pPr>
    </w:p>
    <w:p w14:paraId="776AFC5A">
      <w:pPr>
        <w:adjustRightInd w:val="0"/>
        <w:snapToGrid w:val="0"/>
        <w:spacing w:line="480" w:lineRule="auto"/>
        <w:jc w:val="center"/>
        <w:rPr>
          <w:rFonts w:ascii="Times New Roman" w:hAnsi="Times New Roman"/>
          <w:color w:val="000000" w:themeColor="text1"/>
          <w:kern w:val="2"/>
          <w:sz w:val="30"/>
          <w:szCs w:val="30"/>
          <w14:textFill>
            <w14:solidFill>
              <w14:schemeClr w14:val="tx1"/>
            </w14:solidFill>
          </w14:textFill>
        </w:rPr>
      </w:pPr>
      <w:r>
        <w:rPr>
          <w:rFonts w:hint="eastAsia" w:ascii="Times New Roman" w:hAnsi="Times New Roman" w:cs="宋体"/>
          <w:color w:val="000000" w:themeColor="text1"/>
          <w:kern w:val="2"/>
          <w:sz w:val="30"/>
          <w:szCs w:val="30"/>
          <w14:textFill>
            <w14:solidFill>
              <w14:schemeClr w14:val="tx1"/>
            </w14:solidFill>
          </w14:textFill>
        </w:rPr>
        <w:t>供应商：供应商全称</w:t>
      </w:r>
    </w:p>
    <w:p w14:paraId="5E5FFC4C">
      <w:pPr>
        <w:snapToGrid w:val="0"/>
        <w:spacing w:line="480" w:lineRule="auto"/>
        <w:jc w:val="center"/>
        <w:rPr>
          <w:rFonts w:ascii="Times New Roman" w:hAnsi="Times New Roman" w:cs="宋体"/>
          <w:color w:val="000000" w:themeColor="text1"/>
          <w:kern w:val="2"/>
          <w:sz w:val="36"/>
          <w:szCs w:val="36"/>
          <w14:textFill>
            <w14:solidFill>
              <w14:schemeClr w14:val="tx1"/>
            </w14:solidFill>
          </w14:textFill>
        </w:rPr>
      </w:pPr>
      <w:r>
        <w:rPr>
          <w:rFonts w:hint="eastAsia" w:ascii="Times New Roman" w:hAnsi="Times New Roman" w:cs="宋体"/>
          <w:color w:val="000000" w:themeColor="text1"/>
          <w:kern w:val="2"/>
          <w:sz w:val="30"/>
          <w:szCs w:val="30"/>
          <w14:textFill>
            <w14:solidFill>
              <w14:schemeClr w14:val="tx1"/>
            </w14:solidFill>
          </w14:textFill>
        </w:rPr>
        <w:t>二〇二六年 月 日</w:t>
      </w:r>
    </w:p>
    <w:p w14:paraId="235EEB05">
      <w:pPr>
        <w:jc w:val="center"/>
        <w:rPr>
          <w:rFonts w:hint="eastAsia" w:ascii="宋体" w:hAnsi="宋体"/>
          <w:b/>
          <w:color w:val="000000" w:themeColor="text1"/>
          <w:kern w:val="2"/>
          <w:sz w:val="30"/>
          <w:szCs w:val="30"/>
          <w14:textFill>
            <w14:solidFill>
              <w14:schemeClr w14:val="tx1"/>
            </w14:solidFill>
          </w14:textFill>
        </w:rPr>
      </w:pPr>
      <w:r>
        <w:rPr>
          <w:rFonts w:ascii="宋体" w:hAnsi="宋体"/>
          <w:b/>
          <w:bCs/>
          <w:color w:val="000000" w:themeColor="text1"/>
          <w:kern w:val="2"/>
          <w:sz w:val="24"/>
          <w:szCs w:val="24"/>
          <w:u w:val="single"/>
          <w14:textFill>
            <w14:solidFill>
              <w14:schemeClr w14:val="tx1"/>
            </w14:solidFill>
          </w14:textFill>
        </w:rPr>
        <w:br w:type="page"/>
      </w:r>
      <w:r>
        <w:rPr>
          <w:rFonts w:hint="eastAsia" w:ascii="宋体" w:hAnsi="宋体"/>
          <w:b/>
          <w:color w:val="000000" w:themeColor="text1"/>
          <w:kern w:val="2"/>
          <w:sz w:val="30"/>
          <w:szCs w:val="30"/>
          <w14:textFill>
            <w14:solidFill>
              <w14:schemeClr w14:val="tx1"/>
            </w14:solidFill>
          </w14:textFill>
        </w:rPr>
        <w:t>符合《中华人民共和国政府采购法》第二十二条规定的声明函</w:t>
      </w:r>
    </w:p>
    <w:p w14:paraId="0B6AD884">
      <w:pPr>
        <w:spacing w:line="460" w:lineRule="exact"/>
        <w:rPr>
          <w:rFonts w:hint="eastAsia" w:ascii="宋体" w:hAnsi="宋体"/>
          <w:b/>
          <w:bCs/>
          <w:color w:val="000000" w:themeColor="text1"/>
          <w:kern w:val="2"/>
          <w:sz w:val="44"/>
          <w:szCs w:val="44"/>
          <w14:textFill>
            <w14:solidFill>
              <w14:schemeClr w14:val="tx1"/>
            </w14:solidFill>
          </w14:textFill>
        </w:rPr>
      </w:pPr>
    </w:p>
    <w:p w14:paraId="1D00EE30">
      <w:pPr>
        <w:spacing w:line="520" w:lineRule="exact"/>
        <w:ind w:firstLine="480" w:firstLineChars="200"/>
        <w:rPr>
          <w:rFonts w:hint="eastAsia" w:ascii="宋体" w:hAnsi="宋体"/>
          <w:b/>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我单位参加</w:t>
      </w:r>
      <w:r>
        <w:rPr>
          <w:rFonts w:hint="eastAsia" w:ascii="宋体" w:hAnsi="宋体"/>
          <w:bCs/>
          <w:color w:val="000000" w:themeColor="text1"/>
          <w:kern w:val="2"/>
          <w:sz w:val="24"/>
          <w:szCs w:val="21"/>
          <w:u w:val="single"/>
          <w14:textFill>
            <w14:solidFill>
              <w14:schemeClr w14:val="tx1"/>
            </w14:solidFill>
          </w14:textFill>
        </w:rPr>
        <w:t>_       （项目名称）_【项目编号：  】</w:t>
      </w:r>
      <w:r>
        <w:rPr>
          <w:rFonts w:hint="eastAsia" w:ascii="宋体" w:hAnsi="宋体"/>
          <w:bCs/>
          <w:color w:val="000000" w:themeColor="text1"/>
          <w:kern w:val="2"/>
          <w:sz w:val="24"/>
          <w:szCs w:val="21"/>
          <w14:textFill>
            <w14:solidFill>
              <w14:schemeClr w14:val="tx1"/>
            </w14:solidFill>
          </w14:textFill>
        </w:rPr>
        <w:t>的磋商活动。现做出如下声明：</w:t>
      </w:r>
    </w:p>
    <w:p w14:paraId="47BE5DAF">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1.我单位具有独立承担民事责任的能力；</w:t>
      </w:r>
    </w:p>
    <w:p w14:paraId="6D1CEFE4">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2.我单位具有良好的商业信誉和健全的财务会计制度；</w:t>
      </w:r>
    </w:p>
    <w:p w14:paraId="0A2BFE8F">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3.我单位具有履行合同所必需的设备和专业技术能力；</w:t>
      </w:r>
    </w:p>
    <w:p w14:paraId="54D169D2">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4.我单位有依法缴纳税收和社会保障资金的良好记录；</w:t>
      </w:r>
    </w:p>
    <w:p w14:paraId="00D58E23">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5.我单位参加本次采购活动前三年内，在经营活动中没有重大违法记录；</w:t>
      </w:r>
    </w:p>
    <w:p w14:paraId="1BBA76F6">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B726F38">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6.我单位满足法律、行政法规规定的其他条件。</w:t>
      </w:r>
    </w:p>
    <w:p w14:paraId="502190FF">
      <w:pPr>
        <w:spacing w:line="500" w:lineRule="exact"/>
        <w:ind w:firstLine="482"/>
        <w:rPr>
          <w:rFonts w:hint="eastAsia" w:ascii="宋体" w:hAnsi="宋体"/>
          <w:color w:val="000000" w:themeColor="text1"/>
          <w:kern w:val="2"/>
          <w:sz w:val="24"/>
          <w:szCs w:val="24"/>
          <w14:textFill>
            <w14:solidFill>
              <w14:schemeClr w14:val="tx1"/>
            </w14:solidFill>
          </w14:textFill>
        </w:rPr>
      </w:pPr>
    </w:p>
    <w:p w14:paraId="32C45A1C">
      <w:pPr>
        <w:spacing w:line="500" w:lineRule="exact"/>
        <w:rPr>
          <w:rFonts w:hint="eastAsia" w:ascii="宋体" w:hAnsi="宋体"/>
          <w:color w:val="000000" w:themeColor="text1"/>
          <w:kern w:val="2"/>
          <w:sz w:val="24"/>
          <w:szCs w:val="24"/>
          <w14:textFill>
            <w14:solidFill>
              <w14:schemeClr w14:val="tx1"/>
            </w14:solidFill>
          </w14:textFill>
        </w:rPr>
      </w:pPr>
    </w:p>
    <w:p w14:paraId="31C1A4FC">
      <w:pPr>
        <w:spacing w:line="500" w:lineRule="exact"/>
        <w:rPr>
          <w:rFonts w:hint="eastAsia" w:ascii="宋体" w:hAnsi="宋体"/>
          <w:bCs/>
          <w:color w:val="000000" w:themeColor="text1"/>
          <w:kern w:val="2"/>
          <w:sz w:val="24"/>
          <w:szCs w:val="21"/>
          <w14:textFill>
            <w14:solidFill>
              <w14:schemeClr w14:val="tx1"/>
            </w14:solidFill>
          </w14:textFill>
        </w:rPr>
      </w:pPr>
    </w:p>
    <w:p w14:paraId="6CE335F4">
      <w:pPr>
        <w:spacing w:line="500" w:lineRule="exact"/>
        <w:rPr>
          <w:rFonts w:hint="eastAsia" w:ascii="宋体" w:hAnsi="宋体"/>
          <w:bCs/>
          <w:color w:val="000000" w:themeColor="text1"/>
          <w:kern w:val="2"/>
          <w:sz w:val="24"/>
          <w:szCs w:val="21"/>
          <w14:textFill>
            <w14:solidFill>
              <w14:schemeClr w14:val="tx1"/>
            </w14:solidFill>
          </w14:textFill>
        </w:rPr>
      </w:pPr>
    </w:p>
    <w:p w14:paraId="6399CCBF">
      <w:pPr>
        <w:spacing w:line="500" w:lineRule="exact"/>
        <w:rPr>
          <w:rFonts w:hint="eastAsia" w:ascii="宋体" w:hAnsi="宋体"/>
          <w:bCs/>
          <w:color w:val="000000" w:themeColor="text1"/>
          <w:kern w:val="2"/>
          <w:sz w:val="24"/>
          <w:szCs w:val="21"/>
          <w14:textFill>
            <w14:solidFill>
              <w14:schemeClr w14:val="tx1"/>
            </w14:solidFill>
          </w14:textFill>
        </w:rPr>
      </w:pPr>
    </w:p>
    <w:p w14:paraId="1E50A603">
      <w:pPr>
        <w:spacing w:line="460" w:lineRule="exact"/>
        <w:jc w:val="center"/>
        <w:rPr>
          <w:rFonts w:hint="eastAsia" w:ascii="宋体" w:hAnsi="宋体"/>
          <w:bCs/>
          <w:color w:val="000000" w:themeColor="text1"/>
          <w:kern w:val="2"/>
          <w:sz w:val="24"/>
          <w:szCs w:val="21"/>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 xml:space="preserve">                                                 声明人名称：</w:t>
      </w:r>
      <w:r>
        <w:rPr>
          <w:rFonts w:hint="eastAsia" w:ascii="宋体" w:hAnsi="宋体"/>
          <w:bCs/>
          <w:color w:val="000000" w:themeColor="text1"/>
          <w:kern w:val="2"/>
          <w:sz w:val="24"/>
          <w:szCs w:val="21"/>
          <w:u w:val="single"/>
          <w14:textFill>
            <w14:solidFill>
              <w14:schemeClr w14:val="tx1"/>
            </w14:solidFill>
          </w14:textFill>
        </w:rPr>
        <w:t>___________</w:t>
      </w:r>
      <w:r>
        <w:rPr>
          <w:rFonts w:hint="eastAsia" w:ascii="宋体" w:hAnsi="宋体"/>
          <w:bCs/>
          <w:color w:val="000000" w:themeColor="text1"/>
          <w:kern w:val="2"/>
          <w:sz w:val="24"/>
          <w:szCs w:val="21"/>
          <w14:textFill>
            <w14:solidFill>
              <w14:schemeClr w14:val="tx1"/>
            </w14:solidFill>
          </w14:textFill>
        </w:rPr>
        <w:t>（公章）</w:t>
      </w:r>
    </w:p>
    <w:p w14:paraId="16FD86C7">
      <w:pPr>
        <w:spacing w:line="460" w:lineRule="exact"/>
        <w:jc w:val="right"/>
        <w:rPr>
          <w:rFonts w:hint="eastAsia" w:ascii="宋体" w:hAnsi="宋体"/>
          <w:bCs/>
          <w:color w:val="000000" w:themeColor="text1"/>
          <w:kern w:val="2"/>
          <w:sz w:val="24"/>
          <w:szCs w:val="21"/>
          <w14:textFill>
            <w14:solidFill>
              <w14:schemeClr w14:val="tx1"/>
            </w14:solidFill>
          </w14:textFill>
        </w:rPr>
      </w:pPr>
    </w:p>
    <w:p w14:paraId="172830ED">
      <w:pPr>
        <w:spacing w:line="460" w:lineRule="exact"/>
        <w:jc w:val="right"/>
        <w:rPr>
          <w:rFonts w:hint="eastAsia" w:ascii="宋体" w:hAnsi="宋体"/>
          <w:bCs/>
          <w:color w:val="000000" w:themeColor="text1"/>
          <w:kern w:val="2"/>
          <w:sz w:val="24"/>
          <w:szCs w:val="21"/>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 xml:space="preserve">                                 日期：  年  月  日</w:t>
      </w:r>
    </w:p>
    <w:p w14:paraId="7BE9A32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D24EBB4">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1C733ED2">
      <w:pPr>
        <w:snapToGrid w:val="0"/>
        <w:spacing w:line="400" w:lineRule="exact"/>
        <w:contextualSpacing/>
        <w:rPr>
          <w:rFonts w:hint="eastAsia" w:ascii="宋体" w:hAnsi="宋体" w:cs="宋体"/>
          <w:b/>
          <w:color w:val="000000" w:themeColor="text1"/>
          <w:sz w:val="28"/>
          <w:szCs w:val="28"/>
          <w:lang w:val="zh-CN"/>
          <w14:textFill>
            <w14:solidFill>
              <w14:schemeClr w14:val="tx1"/>
            </w14:solidFill>
          </w14:textFill>
        </w:rPr>
      </w:pPr>
    </w:p>
    <w:p w14:paraId="0C3DBD62">
      <w:pPr>
        <w:snapToGrid w:val="0"/>
        <w:spacing w:line="400" w:lineRule="exact"/>
        <w:contextualSpacing/>
        <w:rPr>
          <w:rFonts w:hint="eastAsia" w:ascii="宋体" w:hAnsi="宋体"/>
          <w:b/>
          <w:bCs/>
          <w:color w:val="000000" w:themeColor="text1"/>
          <w:kern w:val="2"/>
          <w:sz w:val="32"/>
          <w:szCs w:val="32"/>
          <w14:textFill>
            <w14:solidFill>
              <w14:schemeClr w14:val="tx1"/>
            </w14:solidFill>
          </w14:textFill>
        </w:rPr>
      </w:pPr>
      <w:r>
        <w:rPr>
          <w:rFonts w:ascii="宋体" w:hAnsi="宋体"/>
          <w:color w:val="000000" w:themeColor="text1"/>
          <w:sz w:val="32"/>
          <w:szCs w:val="32"/>
          <w:lang w:val="zh-CN"/>
          <w14:textFill>
            <w14:solidFill>
              <w14:schemeClr w14:val="tx1"/>
            </w14:solidFill>
          </w14:textFill>
        </w:rPr>
        <w:br w:type="page"/>
      </w:r>
    </w:p>
    <w:p w14:paraId="379709D5">
      <w:pPr>
        <w:snapToGrid w:val="0"/>
        <w:spacing w:line="360" w:lineRule="auto"/>
        <w:jc w:val="center"/>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法定代表人身份证明</w:t>
      </w:r>
    </w:p>
    <w:p w14:paraId="3860F0D1">
      <w:pPr>
        <w:spacing w:line="480" w:lineRule="exact"/>
        <w:rPr>
          <w:rFonts w:hint="eastAsia" w:ascii="宋体" w:hAnsi="宋体"/>
          <w:color w:val="000000" w:themeColor="text1"/>
          <w:kern w:val="2"/>
          <w:sz w:val="24"/>
          <w:szCs w:val="24"/>
          <w14:textFill>
            <w14:solidFill>
              <w14:schemeClr w14:val="tx1"/>
            </w14:solidFill>
          </w14:textFill>
        </w:rPr>
      </w:pPr>
    </w:p>
    <w:p w14:paraId="0BEF59A4">
      <w:pPr>
        <w:spacing w:line="480" w:lineRule="exact"/>
        <w:ind w:firstLine="480" w:firstLineChars="200"/>
        <w:rPr>
          <w:rFonts w:hint="eastAsia" w:ascii="宋体" w:hAnsi="宋体"/>
          <w:kern w:val="2"/>
          <w:sz w:val="24"/>
          <w:szCs w:val="24"/>
        </w:rPr>
      </w:pPr>
      <w:r>
        <w:rPr>
          <w:rFonts w:ascii="宋体" w:hAnsi="宋体"/>
          <w:kern w:val="2"/>
          <w:sz w:val="24"/>
          <w:szCs w:val="24"/>
          <w:u w:val="single"/>
        </w:rPr>
        <w:t xml:space="preserve">        </w:t>
      </w:r>
      <w:r>
        <w:rPr>
          <w:rFonts w:hint="eastAsia" w:ascii="宋体" w:hAnsi="宋体"/>
          <w:kern w:val="2"/>
          <w:sz w:val="24"/>
          <w:szCs w:val="24"/>
        </w:rPr>
        <w:t>先生/女士：</w:t>
      </w:r>
      <w:r>
        <w:rPr>
          <w:rFonts w:ascii="宋体" w:hAnsi="宋体"/>
          <w:kern w:val="2"/>
          <w:sz w:val="24"/>
          <w:szCs w:val="24"/>
        </w:rPr>
        <w:t xml:space="preserve"> </w:t>
      </w:r>
      <w:r>
        <w:rPr>
          <w:rFonts w:hint="eastAsia" w:ascii="宋体" w:hAnsi="宋体"/>
          <w:kern w:val="2"/>
          <w:sz w:val="24"/>
          <w:szCs w:val="24"/>
        </w:rPr>
        <w:t>现任我单位</w:t>
      </w:r>
      <w:r>
        <w:rPr>
          <w:rFonts w:ascii="宋体" w:hAnsi="宋体"/>
          <w:kern w:val="2"/>
          <w:sz w:val="24"/>
          <w:szCs w:val="24"/>
          <w:u w:val="single"/>
        </w:rPr>
        <w:t xml:space="preserve">        </w:t>
      </w:r>
      <w:r>
        <w:rPr>
          <w:rFonts w:hint="eastAsia" w:ascii="宋体" w:hAnsi="宋体"/>
          <w:kern w:val="2"/>
          <w:sz w:val="24"/>
          <w:szCs w:val="24"/>
        </w:rPr>
        <w:t>职务，为法定代表人，特此证明。</w:t>
      </w:r>
    </w:p>
    <w:p w14:paraId="784EB17B">
      <w:pPr>
        <w:spacing w:line="480" w:lineRule="exact"/>
        <w:ind w:firstLine="480"/>
        <w:rPr>
          <w:rFonts w:hint="eastAsia" w:ascii="宋体" w:hAnsi="宋体"/>
          <w:kern w:val="2"/>
          <w:sz w:val="24"/>
          <w:szCs w:val="24"/>
          <w:u w:val="single"/>
        </w:rPr>
      </w:pPr>
      <w:r>
        <w:rPr>
          <w:rFonts w:hint="eastAsia" w:ascii="宋体" w:hAnsi="宋体"/>
          <w:kern w:val="2"/>
          <w:sz w:val="24"/>
          <w:szCs w:val="24"/>
        </w:rPr>
        <w:t>身份证号码：</w:t>
      </w:r>
      <w:r>
        <w:rPr>
          <w:rFonts w:ascii="宋体" w:hAnsi="宋体"/>
          <w:kern w:val="2"/>
          <w:sz w:val="24"/>
          <w:szCs w:val="24"/>
          <w:u w:val="single"/>
        </w:rPr>
        <w:t xml:space="preserve">                                    </w:t>
      </w:r>
    </w:p>
    <w:p w14:paraId="28D9D094">
      <w:pPr>
        <w:spacing w:line="480" w:lineRule="exact"/>
        <w:ind w:firstLine="480"/>
        <w:rPr>
          <w:rFonts w:hint="eastAsia" w:ascii="宋体" w:hAnsi="宋体"/>
          <w:color w:val="000000" w:themeColor="text1"/>
          <w:kern w:val="2"/>
          <w:sz w:val="24"/>
          <w:szCs w:val="24"/>
          <w14:textFill>
            <w14:solidFill>
              <w14:schemeClr w14:val="tx1"/>
            </w14:solidFill>
          </w14:textFill>
        </w:rPr>
      </w:pPr>
    </w:p>
    <w:p w14:paraId="0EB2BC26">
      <w:pPr>
        <w:snapToGrid w:val="0"/>
        <w:spacing w:line="420" w:lineRule="exact"/>
        <w:ind w:right="960" w:firstLine="404" w:firstLineChars="202"/>
        <w:jc w:val="center"/>
        <w:textAlignment w:val="baseline"/>
        <w:rPr>
          <w:rFonts w:ascii="Times New Roman" w:hAnsi="Times New Roman"/>
          <w:color w:val="000000" w:themeColor="text1"/>
          <w:kern w:val="2"/>
          <w:sz w:val="20"/>
          <w:szCs w:val="21"/>
          <w14:textFill>
            <w14:solidFill>
              <w14:schemeClr w14:val="tx1"/>
            </w14:solidFill>
          </w14:textFill>
        </w:rPr>
      </w:pPr>
    </w:p>
    <w:p w14:paraId="79E8A54A">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tbl>
      <w:tblPr>
        <w:tblStyle w:val="5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541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6D19FD85">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191FB80D">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70E49161">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r>
              <w:rPr>
                <w:rFonts w:hint="eastAsia" w:ascii="Times New Roman" w:hAnsi="Times New Roman" w:cs="宋体"/>
                <w:b/>
                <w:bCs/>
                <w:color w:val="000000" w:themeColor="text1"/>
                <w:kern w:val="2"/>
                <w14:textFill>
                  <w14:solidFill>
                    <w14:schemeClr w14:val="tx1"/>
                  </w14:solidFill>
                </w14:textFill>
              </w:rPr>
              <w:t>法定代表人身份证</w:t>
            </w:r>
            <w:r>
              <w:rPr>
                <w:rFonts w:hint="eastAsia" w:ascii="Times New Roman" w:hAnsi="Times New Roman" w:cs="宋体"/>
                <w:b/>
                <w:color w:val="000000" w:themeColor="text1"/>
                <w:kern w:val="2"/>
                <w14:textFill>
                  <w14:solidFill>
                    <w14:schemeClr w14:val="tx1"/>
                  </w14:solidFill>
                </w14:textFill>
              </w:rPr>
              <w:t>（正、反面）</w:t>
            </w:r>
            <w:r>
              <w:rPr>
                <w:rFonts w:hint="eastAsia" w:ascii="Times New Roman" w:hAnsi="Times New Roman" w:cs="宋体"/>
                <w:b/>
                <w:bCs/>
                <w:color w:val="000000" w:themeColor="text1"/>
                <w:kern w:val="2"/>
                <w14:textFill>
                  <w14:solidFill>
                    <w14:schemeClr w14:val="tx1"/>
                  </w14:solidFill>
                </w14:textFill>
              </w:rPr>
              <w:t>复印件或扫描件</w:t>
            </w:r>
          </w:p>
          <w:p w14:paraId="0BAA1B18">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17DE2E14">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419A7E3F">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5EEA0D94">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tc>
      </w:tr>
    </w:tbl>
    <w:p w14:paraId="2F2DA182">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0499B6B9">
      <w:pPr>
        <w:spacing w:line="600" w:lineRule="exact"/>
        <w:rPr>
          <w:rFonts w:hint="eastAsia" w:ascii="宋体" w:hAnsi="宋体"/>
          <w:b/>
          <w:color w:val="000000" w:themeColor="text1"/>
          <w:kern w:val="2"/>
          <w:sz w:val="24"/>
          <w:szCs w:val="24"/>
          <w14:textFill>
            <w14:solidFill>
              <w14:schemeClr w14:val="tx1"/>
            </w14:solidFill>
          </w14:textFill>
        </w:rPr>
      </w:pPr>
    </w:p>
    <w:p w14:paraId="1803770E">
      <w:pPr>
        <w:spacing w:line="480" w:lineRule="exact"/>
        <w:ind w:firstLine="480" w:firstLineChars="200"/>
        <w:rPr>
          <w:rFonts w:hint="eastAsia" w:ascii="宋体" w:hAnsi="宋体"/>
          <w:color w:val="000000" w:themeColor="text1"/>
          <w:kern w:val="2"/>
          <w:sz w:val="24"/>
          <w:szCs w:val="24"/>
          <w14:textFill>
            <w14:solidFill>
              <w14:schemeClr w14:val="tx1"/>
            </w14:solidFill>
          </w14:textFill>
        </w:rPr>
      </w:pPr>
    </w:p>
    <w:p w14:paraId="57FB0F21">
      <w:pPr>
        <w:rPr>
          <w:rFonts w:hint="eastAsia" w:ascii="宋体" w:hAnsi="宋体"/>
          <w:color w:val="000000" w:themeColor="text1"/>
          <w:kern w:val="2"/>
          <w:szCs w:val="24"/>
          <w14:textFill>
            <w14:solidFill>
              <w14:schemeClr w14:val="tx1"/>
            </w14:solidFill>
          </w14:textFill>
        </w:rPr>
      </w:pPr>
    </w:p>
    <w:p w14:paraId="558043EC">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4BA93E5">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74C885E4">
      <w:pPr>
        <w:snapToGrid w:val="0"/>
        <w:spacing w:line="420" w:lineRule="exact"/>
        <w:ind w:right="960" w:firstLine="484" w:firstLineChars="202"/>
        <w:jc w:val="center"/>
        <w:textAlignment w:val="baseline"/>
        <w:rPr>
          <w:rFonts w:ascii="Times New Roman" w:hAnsi="Times New Roman"/>
          <w:color w:val="000000" w:themeColor="text1"/>
          <w:kern w:val="2"/>
          <w:sz w:val="20"/>
          <w:szCs w:val="2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4BC56387">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p w14:paraId="6E881ADD">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767B94E8">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7E0C7599">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3F086F62">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r>
        <w:rPr>
          <w:rFonts w:ascii="宋体" w:hAnsi="宋体" w:cs="宋体"/>
          <w:b/>
          <w:color w:val="000000" w:themeColor="text1"/>
          <w:sz w:val="28"/>
          <w:szCs w:val="28"/>
          <w:lang w:val="zh-CN"/>
          <w14:textFill>
            <w14:solidFill>
              <w14:schemeClr w14:val="tx1"/>
            </w14:solidFill>
          </w14:textFill>
        </w:rPr>
        <w:br w:type="page"/>
      </w:r>
    </w:p>
    <w:p w14:paraId="41A5E5BB">
      <w:pPr>
        <w:snapToGrid w:val="0"/>
        <w:spacing w:line="360" w:lineRule="auto"/>
        <w:jc w:val="center"/>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法定代表人授权委托书</w:t>
      </w:r>
    </w:p>
    <w:p w14:paraId="146B1CB0">
      <w:pPr>
        <w:rPr>
          <w:rFonts w:hint="eastAsia" w:ascii="宋体" w:hAnsi="宋体"/>
          <w:color w:val="000000" w:themeColor="text1"/>
          <w:kern w:val="2"/>
          <w:sz w:val="32"/>
          <w:szCs w:val="32"/>
          <w14:textFill>
            <w14:solidFill>
              <w14:schemeClr w14:val="tx1"/>
            </w14:solidFill>
          </w14:textFill>
        </w:rPr>
      </w:pPr>
    </w:p>
    <w:p w14:paraId="6C385909">
      <w:pPr>
        <w:snapToGrid w:val="0"/>
        <w:spacing w:line="360" w:lineRule="auto"/>
        <w:rPr>
          <w:rFonts w:ascii="宋体" w:hAnsi="Times New Roman"/>
          <w:color w:val="000000" w:themeColor="text1"/>
          <w:kern w:val="2"/>
          <w:sz w:val="24"/>
          <w:szCs w:val="24"/>
          <w:u w:val="single"/>
          <w14:textFill>
            <w14:solidFill>
              <w14:schemeClr w14:val="tx1"/>
            </w14:solidFill>
          </w14:textFill>
        </w:rPr>
      </w:pPr>
      <w:r>
        <w:rPr>
          <w:rFonts w:hint="eastAsia" w:ascii="宋体" w:hAnsi="宋体" w:cs="宋体"/>
          <w:color w:val="000000" w:themeColor="text1"/>
          <w:kern w:val="2"/>
          <w:sz w:val="24"/>
          <w:szCs w:val="24"/>
          <w:u w:val="single"/>
          <w14:textFill>
            <w14:solidFill>
              <w14:schemeClr w14:val="tx1"/>
            </w14:solidFill>
          </w14:textFill>
        </w:rPr>
        <w:t>南通市生态环境局：</w:t>
      </w:r>
    </w:p>
    <w:p w14:paraId="48BCAAF3">
      <w:pPr>
        <w:snapToGrid w:val="0"/>
        <w:spacing w:line="360" w:lineRule="auto"/>
        <w:ind w:firstLine="484" w:firstLineChars="202"/>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本授权委托书声明：我</w:t>
      </w:r>
      <w:r>
        <w:rPr>
          <w:rFonts w:hint="eastAsia" w:ascii="Times New Roman" w:hAnsi="Times New Roman" w:cs="宋体"/>
          <w:color w:val="000000" w:themeColor="text1"/>
          <w:kern w:val="2"/>
          <w:sz w:val="24"/>
          <w:szCs w:val="24"/>
          <w:u w:val="single" w:color="000000"/>
          <w14:textFill>
            <w14:solidFill>
              <w14:schemeClr w14:val="tx1"/>
            </w14:solidFill>
          </w14:textFill>
        </w:rPr>
        <w:t xml:space="preserve">　    </w:t>
      </w:r>
      <w:r>
        <w:rPr>
          <w:rFonts w:hint="eastAsia" w:ascii="Times New Roman" w:hAnsi="Times New Roman" w:cs="宋体"/>
          <w:color w:val="000000" w:themeColor="text1"/>
          <w:kern w:val="2"/>
          <w:sz w:val="24"/>
          <w:szCs w:val="24"/>
          <w14:textFill>
            <w14:solidFill>
              <w14:schemeClr w14:val="tx1"/>
            </w14:solidFill>
          </w14:textFill>
        </w:rPr>
        <w:t>（姓名）系</w:t>
      </w:r>
      <w:r>
        <w:rPr>
          <w:rFonts w:hint="eastAsia" w:ascii="Times New Roman" w:hAnsi="Times New Roman" w:cs="宋体"/>
          <w:color w:val="000000" w:themeColor="text1"/>
          <w:kern w:val="2"/>
          <w:sz w:val="24"/>
          <w:szCs w:val="24"/>
          <w:u w:val="single" w:color="000000"/>
          <w14:textFill>
            <w14:solidFill>
              <w14:schemeClr w14:val="tx1"/>
            </w14:solidFill>
          </w14:textFill>
        </w:rPr>
        <w:t xml:space="preserve">　                     </w:t>
      </w:r>
      <w:r>
        <w:rPr>
          <w:rFonts w:hint="eastAsia" w:ascii="Times New Roman" w:hAnsi="Times New Roman" w:cs="宋体"/>
          <w:color w:val="000000" w:themeColor="text1"/>
          <w:kern w:val="2"/>
          <w:sz w:val="24"/>
          <w:szCs w:val="24"/>
          <w14:textFill>
            <w14:solidFill>
              <w14:schemeClr w14:val="tx1"/>
            </w14:solidFill>
          </w14:textFill>
        </w:rPr>
        <w:t>（供应商名称）的法定代表人，现授权委托</w:t>
      </w:r>
      <w:r>
        <w:rPr>
          <w:rFonts w:hint="eastAsia" w:ascii="Times New Roman" w:hAnsi="Times New Roman" w:cs="宋体"/>
          <w:color w:val="000000" w:themeColor="text1"/>
          <w:kern w:val="2"/>
          <w:sz w:val="24"/>
          <w:szCs w:val="24"/>
          <w:u w:val="single" w:color="000000"/>
          <w14:textFill>
            <w14:solidFill>
              <w14:schemeClr w14:val="tx1"/>
            </w14:solidFill>
          </w14:textFill>
        </w:rPr>
        <w:t>　　</w:t>
      </w:r>
      <w:r>
        <w:rPr>
          <w:rFonts w:hint="eastAsia" w:ascii="Times New Roman" w:hAnsi="Times New Roman" w:cs="宋体"/>
          <w:color w:val="000000" w:themeColor="text1"/>
          <w:kern w:val="2"/>
          <w:sz w:val="24"/>
          <w:szCs w:val="24"/>
          <w14:textFill>
            <w14:solidFill>
              <w14:schemeClr w14:val="tx1"/>
            </w14:solidFill>
          </w14:textFill>
        </w:rPr>
        <w:t>（姓名）为我公司委托代理人，以本公司的名义参加</w:t>
      </w:r>
      <w:r>
        <w:rPr>
          <w:rFonts w:hint="eastAsia" w:ascii="宋体" w:hAnsi="宋体" w:cs="宋体"/>
          <w:bCs/>
          <w:color w:val="000000" w:themeColor="text1"/>
          <w:kern w:val="2"/>
          <w:sz w:val="24"/>
          <w:szCs w:val="21"/>
          <w:u w:val="single"/>
          <w14:textFill>
            <w14:solidFill>
              <w14:schemeClr w14:val="tx1"/>
            </w14:solidFill>
          </w14:textFill>
        </w:rPr>
        <w:t xml:space="preserve">         （项目名称）     【项目编号：】</w:t>
      </w:r>
      <w:r>
        <w:rPr>
          <w:rFonts w:hint="eastAsia" w:ascii="Times New Roman" w:hAnsi="Times New Roman" w:cs="宋体"/>
          <w:color w:val="000000" w:themeColor="text1"/>
          <w:kern w:val="2"/>
          <w:sz w:val="24"/>
          <w:szCs w:val="24"/>
          <w14:textFill>
            <w14:solidFill>
              <w14:schemeClr w14:val="tx1"/>
            </w14:solidFill>
          </w14:textFill>
        </w:rPr>
        <w:t>的竞争性磋商响应活动。被授权人在开标、评审磋商活动、合同磋商过程中所签署的一切文件和处理与之有关的一切事务，我均予以承认。</w:t>
      </w:r>
    </w:p>
    <w:p w14:paraId="08F70FB6">
      <w:pPr>
        <w:snapToGrid w:val="0"/>
        <w:spacing w:line="360" w:lineRule="auto"/>
        <w:ind w:firstLine="484" w:firstLineChars="202"/>
        <w:textAlignment w:val="baseline"/>
        <w:rPr>
          <w:rFonts w:ascii="Times New Roman" w:hAnsi="Times New Roman" w:cs="宋体"/>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被授权人无转委权。特此委托。</w:t>
      </w:r>
    </w:p>
    <w:p w14:paraId="09226E05">
      <w:pPr>
        <w:snapToGrid w:val="0"/>
        <w:spacing w:line="360" w:lineRule="auto"/>
        <w:textAlignment w:val="baseline"/>
        <w:rPr>
          <w:rFonts w:ascii="Times New Roman" w:hAnsi="Times New Roman"/>
          <w:color w:val="000000" w:themeColor="text1"/>
          <w:szCs w:val="24"/>
          <w14:textFill>
            <w14:solidFill>
              <w14:schemeClr w14:val="tx1"/>
            </w14:solidFill>
          </w14:textFill>
        </w:rPr>
      </w:pPr>
    </w:p>
    <w:p w14:paraId="08E37270">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法定代表人签字：</w:t>
      </w:r>
    </w:p>
    <w:p w14:paraId="18A9E425">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被授权人身份证号：</w:t>
      </w:r>
    </w:p>
    <w:p w14:paraId="48A20E6C">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被授权人签字：</w:t>
      </w:r>
    </w:p>
    <w:p w14:paraId="0C101ACE">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p>
    <w:p w14:paraId="60E114F2">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35ED6606">
      <w:pPr>
        <w:snapToGrid w:val="0"/>
        <w:spacing w:line="420" w:lineRule="exact"/>
        <w:ind w:firstLine="484" w:firstLineChars="202"/>
        <w:jc w:val="center"/>
        <w:textAlignment w:val="baseline"/>
        <w:rPr>
          <w:rFonts w:ascii="Times New Roman" w:hAnsi="Times New Roman"/>
          <w:color w:val="000000" w:themeColor="text1"/>
          <w:kern w:val="2"/>
          <w:sz w:val="20"/>
          <w:szCs w:val="2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6F6FD369">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tbl>
      <w:tblPr>
        <w:tblStyle w:val="5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7B64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300E5E2E">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323FC814">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r>
              <w:rPr>
                <w:rFonts w:hint="eastAsia" w:ascii="Times New Roman" w:hAnsi="Times New Roman" w:cs="宋体"/>
                <w:b/>
                <w:bCs/>
                <w:color w:val="000000" w:themeColor="text1"/>
                <w:kern w:val="2"/>
                <w14:textFill>
                  <w14:solidFill>
                    <w14:schemeClr w14:val="tx1"/>
                  </w14:solidFill>
                </w14:textFill>
              </w:rPr>
              <w:t>被授权人身份证</w:t>
            </w:r>
            <w:r>
              <w:rPr>
                <w:rFonts w:hint="eastAsia" w:ascii="Times New Roman" w:hAnsi="Times New Roman" w:cs="宋体"/>
                <w:b/>
                <w:color w:val="000000" w:themeColor="text1"/>
                <w:kern w:val="2"/>
                <w14:textFill>
                  <w14:solidFill>
                    <w14:schemeClr w14:val="tx1"/>
                  </w14:solidFill>
                </w14:textFill>
              </w:rPr>
              <w:t>（正、反面）</w:t>
            </w:r>
            <w:r>
              <w:rPr>
                <w:rFonts w:hint="eastAsia" w:ascii="Times New Roman" w:hAnsi="Times New Roman" w:cs="宋体"/>
                <w:b/>
                <w:bCs/>
                <w:color w:val="000000" w:themeColor="text1"/>
                <w:kern w:val="2"/>
                <w14:textFill>
                  <w14:solidFill>
                    <w14:schemeClr w14:val="tx1"/>
                  </w14:solidFill>
                </w14:textFill>
              </w:rPr>
              <w:t>复印件或扫描件</w:t>
            </w:r>
          </w:p>
          <w:p w14:paraId="53EB780A">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0B68EA22">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52EACD4D">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p w14:paraId="14D2F099">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tc>
      </w:tr>
    </w:tbl>
    <w:p w14:paraId="6436AF52">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20F0C145">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4F333DCC">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7BD68AC1">
      <w:pPr>
        <w:snapToGrid w:val="0"/>
        <w:spacing w:line="360" w:lineRule="auto"/>
        <w:jc w:val="center"/>
        <w:rPr>
          <w:rFonts w:hint="eastAsia"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r>
        <w:rPr>
          <w:rFonts w:hint="eastAsia" w:ascii="宋体" w:hAnsi="宋体"/>
          <w:b/>
          <w:color w:val="000000" w:themeColor="text1"/>
          <w:kern w:val="2"/>
          <w:sz w:val="30"/>
          <w:szCs w:val="30"/>
          <w14:textFill>
            <w14:solidFill>
              <w14:schemeClr w14:val="tx1"/>
            </w14:solidFill>
          </w14:textFill>
        </w:rPr>
        <w:t>供应商信用承诺书</w:t>
      </w:r>
    </w:p>
    <w:p w14:paraId="70961189">
      <w:pPr>
        <w:overflowPunct w:val="0"/>
        <w:adjustRightInd w:val="0"/>
        <w:spacing w:line="360" w:lineRule="auto"/>
        <w:ind w:firstLine="420"/>
        <w:jc w:val="left"/>
        <w:textAlignment w:val="baseline"/>
        <w:rPr>
          <w:rFonts w:ascii="宋体" w:hAnsi="Times New Roman"/>
          <w:color w:val="000000" w:themeColor="text1"/>
          <w:kern w:val="2"/>
          <w:sz w:val="24"/>
          <w:szCs w:val="24"/>
          <w:u w:val="single"/>
          <w14:textFill>
            <w14:solidFill>
              <w14:schemeClr w14:val="tx1"/>
            </w14:solidFill>
          </w14:textFill>
        </w:rPr>
      </w:pPr>
    </w:p>
    <w:p w14:paraId="482BA5B0">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为营造公开、公平、公正的招标（采购）交易环境，树立诚信守法的投标人（供应商）形象，本人代表本单位作出以下承诺：</w:t>
      </w:r>
    </w:p>
    <w:p w14:paraId="4D802096">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一、本单位对所提交的单位基本信息、单位负责人、项目负责人、技术负责人、从业资质和资格、业绩、财务状况、信誉等所有资料，均合法、真实、准确、有效，无任何伪造、修改、虚假成分；</w:t>
      </w:r>
    </w:p>
    <w:p w14:paraId="476EF78E">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二、严格依照国家和省、市关于招投投标（政府采购）等方面的法律、法规、规章、规范性文件，参加交易活动；积极履行社会责任，促进廉政建设；</w:t>
      </w:r>
    </w:p>
    <w:p w14:paraId="071BCCFE">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三、自我约束、自我管理，守合同、重信用，不参与围标串标、弄虚作假、骗取中标、干扰评标、违约毁约、恶意投诉等行为，主动维护招投标及采购活动的良好秩序；</w:t>
      </w:r>
    </w:p>
    <w:p w14:paraId="5093EDE9">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五、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14:paraId="561AE1FA">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六、自觉接受政府部门、行业组织、社会公众、新闻舆论等监督；</w:t>
      </w:r>
    </w:p>
    <w:p w14:paraId="605C27F5">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七、上述承诺已向本单位员工做了宣传教育。</w:t>
      </w:r>
    </w:p>
    <w:p w14:paraId="4A75D0AC">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如有违反上述承诺的不良行为，本单位同意将其予以上网公示。</w:t>
      </w:r>
    </w:p>
    <w:p w14:paraId="24D33B31">
      <w:pPr>
        <w:overflowPunct w:val="0"/>
        <w:adjustRightInd w:val="0"/>
        <w:spacing w:line="360" w:lineRule="auto"/>
        <w:ind w:firstLine="420"/>
        <w:jc w:val="left"/>
        <w:textAlignment w:val="baseline"/>
        <w:rPr>
          <w:rFonts w:ascii="宋体" w:hAnsi="Times New Roman"/>
          <w:color w:val="000000" w:themeColor="text1"/>
          <w:kern w:val="2"/>
          <w:sz w:val="24"/>
          <w:szCs w:val="24"/>
          <w:u w:val="single"/>
          <w14:textFill>
            <w14:solidFill>
              <w14:schemeClr w14:val="tx1"/>
            </w14:solidFill>
          </w14:textFill>
        </w:rPr>
      </w:pPr>
    </w:p>
    <w:p w14:paraId="56927F12">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p>
    <w:p w14:paraId="4D21BF30">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1467678D">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662A23F6">
      <w:pPr>
        <w:snapToGrid w:val="0"/>
        <w:spacing w:line="480" w:lineRule="auto"/>
        <w:jc w:val="center"/>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79B28B46">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519606BF">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1CE00435">
      <w:pPr>
        <w:rPr>
          <w:rFonts w:hint="eastAsia" w:ascii="宋体" w:hAnsi="宋体" w:cs="宋体"/>
          <w:b/>
          <w:bCs/>
          <w:sz w:val="24"/>
        </w:rPr>
      </w:pPr>
      <w:r>
        <w:rPr>
          <w:rFonts w:hint="eastAsia" w:ascii="宋体" w:hAnsi="宋体" w:cs="宋体"/>
          <w:b/>
          <w:bCs/>
          <w:sz w:val="24"/>
        </w:rPr>
        <w:br w:type="page"/>
      </w:r>
    </w:p>
    <w:p w14:paraId="0DE45B27">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中小企业声明函（服务）</w:t>
      </w:r>
    </w:p>
    <w:p w14:paraId="3C655AEB">
      <w:pPr>
        <w:spacing w:line="360" w:lineRule="auto"/>
        <w:ind w:firstLine="480"/>
        <w:rPr>
          <w:rFonts w:hint="eastAsia" w:ascii="宋体" w:hAnsi="宋体"/>
          <w:sz w:val="24"/>
          <w:szCs w:val="24"/>
          <w:lang w:bidi="zh-CN"/>
        </w:rPr>
      </w:pPr>
      <w:r>
        <w:rPr>
          <w:rFonts w:ascii="宋体" w:hAnsi="宋体"/>
          <w:sz w:val="24"/>
          <w:szCs w:val="24"/>
          <w:lang w:bidi="zh-CN"/>
        </w:rPr>
        <w:t>本公司（联合体）郑重声明，根据《政府采购促进中小企业发展管理办法》（财库</w:t>
      </w:r>
      <w:r>
        <w:rPr>
          <w:rFonts w:hint="eastAsia" w:ascii="宋体" w:hAnsi="宋体"/>
          <w:sz w:val="24"/>
          <w:szCs w:val="24"/>
          <w:lang w:bidi="zh-CN"/>
        </w:rPr>
        <w:t>﹝</w:t>
      </w:r>
      <w:r>
        <w:rPr>
          <w:rFonts w:ascii="宋体" w:hAnsi="宋体"/>
          <w:sz w:val="24"/>
          <w:szCs w:val="24"/>
          <w:lang w:bidi="zh-CN"/>
        </w:rPr>
        <w:t>2020</w:t>
      </w:r>
      <w:r>
        <w:rPr>
          <w:rFonts w:hint="eastAsia" w:ascii="宋体" w:hAnsi="宋体"/>
          <w:sz w:val="24"/>
          <w:szCs w:val="24"/>
          <w:lang w:bidi="zh-CN"/>
        </w:rPr>
        <w:t>﹞</w:t>
      </w:r>
      <w:r>
        <w:rPr>
          <w:rFonts w:ascii="宋体" w:hAnsi="宋体"/>
          <w:sz w:val="24"/>
          <w:szCs w:val="24"/>
          <w:lang w:bidi="zh-CN"/>
        </w:rPr>
        <w:t>46 号）的规定，本公司（联合体）参加</w:t>
      </w:r>
      <w:r>
        <w:rPr>
          <w:rFonts w:ascii="宋体" w:hAnsi="宋体"/>
          <w:sz w:val="24"/>
          <w:szCs w:val="24"/>
          <w:u w:val="single"/>
          <w:lang w:bidi="zh-CN"/>
        </w:rPr>
        <w:t>（单位名称）</w:t>
      </w:r>
      <w:r>
        <w:rPr>
          <w:rFonts w:ascii="宋体" w:hAnsi="宋体"/>
          <w:sz w:val="24"/>
          <w:szCs w:val="24"/>
          <w:lang w:bidi="zh-CN"/>
        </w:rPr>
        <w:t>的</w:t>
      </w:r>
      <w:r>
        <w:rPr>
          <w:rFonts w:ascii="宋体" w:hAnsi="宋体"/>
          <w:sz w:val="24"/>
          <w:szCs w:val="24"/>
          <w:u w:val="single"/>
          <w:lang w:bidi="zh-CN"/>
        </w:rPr>
        <w:t>（项目名称）</w:t>
      </w:r>
      <w:r>
        <w:rPr>
          <w:rFonts w:ascii="宋体" w:hAnsi="宋体"/>
          <w:sz w:val="24"/>
          <w:szCs w:val="24"/>
          <w:lang w:bidi="zh-CN"/>
        </w:rPr>
        <w:t>采购活动，服务全部由符合政策要求的中小企业承接。相关企业的具体情况如下：</w:t>
      </w:r>
    </w:p>
    <w:p w14:paraId="493532F4">
      <w:pPr>
        <w:numPr>
          <w:ilvl w:val="0"/>
          <w:numId w:val="2"/>
        </w:numPr>
        <w:spacing w:line="360" w:lineRule="auto"/>
        <w:ind w:firstLine="480"/>
        <w:rPr>
          <w:rFonts w:hint="eastAsia" w:ascii="宋体" w:hAnsi="宋体"/>
          <w:sz w:val="24"/>
          <w:szCs w:val="24"/>
          <w:lang w:bidi="zh-CN"/>
        </w:rPr>
      </w:pPr>
      <w:r>
        <w:rPr>
          <w:rFonts w:ascii="宋体" w:hAnsi="宋体"/>
          <w:sz w:val="24"/>
          <w:szCs w:val="24"/>
          <w:u w:val="single"/>
          <w:lang w:bidi="zh-CN"/>
        </w:rPr>
        <w:t>（标的名称）</w:t>
      </w:r>
      <w:r>
        <w:rPr>
          <w:rFonts w:ascii="宋体" w:hAnsi="宋体"/>
          <w:sz w:val="24"/>
          <w:szCs w:val="24"/>
          <w:lang w:bidi="zh-CN"/>
        </w:rPr>
        <w:t>，属于</w:t>
      </w:r>
      <w:r>
        <w:rPr>
          <w:rFonts w:hint="eastAsia" w:ascii="宋体" w:hAnsi="宋体"/>
          <w:sz w:val="24"/>
          <w:szCs w:val="24"/>
          <w:lang w:bidi="zh-CN"/>
        </w:rPr>
        <w:t>其他未列明行业</w:t>
      </w:r>
      <w:r>
        <w:rPr>
          <w:rFonts w:ascii="宋体" w:hAnsi="宋体"/>
          <w:sz w:val="24"/>
          <w:szCs w:val="24"/>
          <w:lang w:bidi="zh-CN"/>
        </w:rPr>
        <w:t>；承接企业为</w:t>
      </w:r>
      <w:r>
        <w:rPr>
          <w:rFonts w:ascii="宋体" w:hAnsi="宋体"/>
          <w:sz w:val="24"/>
          <w:szCs w:val="24"/>
          <w:u w:val="single"/>
          <w:lang w:bidi="zh-CN"/>
        </w:rPr>
        <w:t>（企业名称）</w:t>
      </w:r>
      <w:r>
        <w:rPr>
          <w:rFonts w:ascii="宋体" w:hAnsi="宋体"/>
          <w:sz w:val="24"/>
          <w:szCs w:val="24"/>
          <w:lang w:bidi="zh-CN"/>
        </w:rPr>
        <w:t>，从业人员</w:t>
      </w:r>
      <w:r>
        <w:rPr>
          <w:rFonts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人，营业收入为</w:t>
      </w:r>
      <w:r>
        <w:rPr>
          <w:rFonts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万元，资产总额为</w:t>
      </w:r>
      <w:r>
        <w:rPr>
          <w:rFonts w:ascii="宋体" w:hAnsi="宋体"/>
          <w:sz w:val="24"/>
          <w:szCs w:val="24"/>
          <w:u w:val="single"/>
          <w:lang w:bidi="zh-CN"/>
        </w:rPr>
        <w:t xml:space="preserve"> </w:t>
      </w:r>
      <w:r>
        <w:rPr>
          <w:rFonts w:hint="eastAsia"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万元，属于</w:t>
      </w:r>
      <w:r>
        <w:rPr>
          <w:rFonts w:hint="eastAsia" w:ascii="宋体" w:hAnsi="宋体"/>
          <w:sz w:val="24"/>
          <w:szCs w:val="24"/>
          <w:lang w:bidi="zh-CN"/>
        </w:rPr>
        <w:t>（</w:t>
      </w:r>
      <w:r>
        <w:rPr>
          <w:rFonts w:hint="eastAsia" w:ascii="宋体" w:hAnsi="宋体"/>
          <w:sz w:val="24"/>
          <w:szCs w:val="24"/>
          <w:u w:val="single"/>
          <w:lang w:bidi="zh-CN"/>
        </w:rPr>
        <w:t>□中型企业、□小型企业、□微型企业</w:t>
      </w:r>
      <w:r>
        <w:rPr>
          <w:rFonts w:hint="eastAsia" w:ascii="宋体" w:hAnsi="宋体"/>
          <w:sz w:val="24"/>
          <w:szCs w:val="24"/>
          <w:lang w:bidi="zh-CN"/>
        </w:rPr>
        <w:t>）。</w:t>
      </w:r>
    </w:p>
    <w:p w14:paraId="5CA04DBD">
      <w:pPr>
        <w:pStyle w:val="419"/>
        <w:ind w:firstLine="0"/>
      </w:pPr>
    </w:p>
    <w:p w14:paraId="3BE47054">
      <w:pPr>
        <w:spacing w:line="360" w:lineRule="auto"/>
        <w:ind w:firstLine="480"/>
        <w:rPr>
          <w:rFonts w:hint="eastAsia" w:ascii="宋体" w:hAnsi="宋体"/>
          <w:sz w:val="24"/>
          <w:szCs w:val="24"/>
          <w:lang w:bidi="zh-CN"/>
        </w:rPr>
      </w:pPr>
      <w:r>
        <w:rPr>
          <w:rFonts w:ascii="宋体" w:hAnsi="宋体"/>
          <w:sz w:val="24"/>
          <w:szCs w:val="24"/>
          <w:lang w:bidi="zh-CN"/>
        </w:rPr>
        <w:t>以上企业，不属于大企业的分支机构，不存在控股股东为大企业的情形，也不存在与大企业的负责人为同一人的情形。</w:t>
      </w:r>
    </w:p>
    <w:p w14:paraId="0C84686A">
      <w:pPr>
        <w:spacing w:line="360" w:lineRule="auto"/>
        <w:ind w:firstLine="480"/>
        <w:rPr>
          <w:rFonts w:hint="eastAsia" w:ascii="宋体" w:hAnsi="宋体"/>
          <w:sz w:val="24"/>
          <w:szCs w:val="24"/>
          <w:lang w:bidi="zh-CN"/>
        </w:rPr>
      </w:pPr>
      <w:r>
        <w:rPr>
          <w:rFonts w:ascii="宋体" w:hAnsi="宋体"/>
          <w:sz w:val="24"/>
          <w:szCs w:val="24"/>
          <w:lang w:bidi="zh-CN"/>
        </w:rPr>
        <w:t>本企业对上述声明内容的真实性负责。如有虚假，将依法承担相应责任。</w:t>
      </w:r>
    </w:p>
    <w:p w14:paraId="00B10E72">
      <w:pPr>
        <w:spacing w:line="300" w:lineRule="auto"/>
        <w:ind w:firstLine="420"/>
        <w:rPr>
          <w:rFonts w:hint="eastAsia" w:ascii="宋体" w:hAnsi="宋体" w:cs="宋体"/>
          <w:lang w:bidi="zh-CN"/>
        </w:rPr>
      </w:pPr>
    </w:p>
    <w:p w14:paraId="199D267A">
      <w:pPr>
        <w:spacing w:line="300" w:lineRule="auto"/>
        <w:rPr>
          <w:rFonts w:hint="eastAsia" w:ascii="宋体" w:hAnsi="宋体" w:cs="宋体"/>
          <w:lang w:bidi="zh-CN"/>
        </w:rPr>
      </w:pPr>
    </w:p>
    <w:p w14:paraId="616AC93B">
      <w:pPr>
        <w:spacing w:line="300" w:lineRule="auto"/>
        <w:rPr>
          <w:rFonts w:hint="eastAsia" w:ascii="宋体" w:hAnsi="宋体" w:cs="宋体"/>
          <w:lang w:bidi="zh-CN"/>
        </w:rPr>
      </w:pPr>
      <w:r>
        <w:rPr>
          <w:rFonts w:hint="eastAsia" w:ascii="宋体" w:hAnsi="宋体" w:cs="宋体"/>
          <w:lang w:bidi="zh-CN"/>
        </w:rPr>
        <w:t>注：1.如项目属性为“服务”，请按本表填写。</w:t>
      </w:r>
    </w:p>
    <w:p w14:paraId="3E9F25ED">
      <w:pPr>
        <w:spacing w:line="300" w:lineRule="auto"/>
        <w:ind w:firstLine="420"/>
        <w:rPr>
          <w:rFonts w:hint="eastAsia" w:ascii="宋体" w:hAnsi="宋体" w:cs="宋体"/>
          <w:lang w:bidi="zh-CN"/>
        </w:rPr>
      </w:pPr>
      <w:r>
        <w:rPr>
          <w:rFonts w:hint="eastAsia" w:ascii="宋体" w:hAnsi="宋体" w:cs="宋体"/>
          <w:lang w:bidi="zh-CN"/>
        </w:rPr>
        <w:t>2.从业人员、营业收入、资产总额填报上一年度数据，无上一年度数据的新成立企业可不填报。</w:t>
      </w:r>
    </w:p>
    <w:p w14:paraId="67E01F07">
      <w:pPr>
        <w:spacing w:line="300" w:lineRule="auto"/>
        <w:ind w:firstLine="420"/>
        <w:rPr>
          <w:sz w:val="28"/>
          <w:szCs w:val="28"/>
          <w:lang w:bidi="zh-CN"/>
        </w:rPr>
      </w:pPr>
      <w:r>
        <w:rPr>
          <w:rFonts w:hint="eastAsia" w:ascii="宋体" w:hAnsi="宋体" w:cs="宋体"/>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5D42241F">
      <w:pPr>
        <w:ind w:firstLine="480"/>
        <w:rPr>
          <w:sz w:val="24"/>
          <w:szCs w:val="24"/>
          <w:lang w:bidi="zh-CN"/>
        </w:rPr>
      </w:pPr>
    </w:p>
    <w:p w14:paraId="6C7F94C0">
      <w:pPr>
        <w:rPr>
          <w:sz w:val="28"/>
          <w:szCs w:val="28"/>
          <w:lang w:bidi="zh-CN"/>
        </w:rPr>
      </w:pPr>
    </w:p>
    <w:p w14:paraId="7E34E053">
      <w:pPr>
        <w:spacing w:line="360" w:lineRule="auto"/>
        <w:ind w:firstLine="480"/>
        <w:jc w:val="right"/>
        <w:rPr>
          <w:sz w:val="24"/>
          <w:szCs w:val="24"/>
          <w:lang w:bidi="zh-CN"/>
        </w:rPr>
      </w:pPr>
      <w:r>
        <w:rPr>
          <w:sz w:val="24"/>
          <w:szCs w:val="24"/>
          <w:lang w:bidi="zh-CN"/>
        </w:rPr>
        <w:t>企业名称（</w:t>
      </w:r>
      <w:r>
        <w:rPr>
          <w:rFonts w:hint="eastAsia"/>
          <w:sz w:val="24"/>
          <w:szCs w:val="24"/>
          <w:lang w:bidi="zh-CN"/>
        </w:rPr>
        <w:t>盖</w:t>
      </w:r>
      <w:r>
        <w:rPr>
          <w:rFonts w:hint="eastAsia" w:ascii="宋体" w:hAnsi="宋体" w:cs="宋体"/>
          <w:sz w:val="24"/>
          <w:szCs w:val="24"/>
        </w:rPr>
        <w:t>章</w:t>
      </w:r>
      <w:r>
        <w:rPr>
          <w:rFonts w:hint="eastAsia"/>
          <w:sz w:val="24"/>
          <w:szCs w:val="24"/>
          <w:lang w:bidi="zh-CN"/>
        </w:rPr>
        <w:t>）：</w:t>
      </w:r>
    </w:p>
    <w:p w14:paraId="24A402AA">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日期：  年  月  日</w:t>
      </w:r>
    </w:p>
    <w:p w14:paraId="49F21A6D">
      <w:pPr>
        <w:rPr>
          <w:sz w:val="28"/>
          <w:szCs w:val="28"/>
          <w:lang w:bidi="zh-CN"/>
        </w:rPr>
      </w:pPr>
    </w:p>
    <w:p w14:paraId="22B6C238">
      <w:pPr>
        <w:spacing w:line="300" w:lineRule="auto"/>
        <w:rPr>
          <w:rFonts w:eastAsia="方正黑体_GBK"/>
          <w:sz w:val="32"/>
          <w:szCs w:val="32"/>
        </w:rPr>
      </w:pPr>
      <w:r>
        <w:rPr>
          <w:rFonts w:eastAsia="方正黑体_GBK"/>
          <w:sz w:val="32"/>
          <w:szCs w:val="32"/>
        </w:rPr>
        <w:br w:type="page" w:clear="all"/>
      </w:r>
      <w:r>
        <w:rPr>
          <w:rFonts w:hint="eastAsia" w:ascii="宋体" w:hAnsi="宋体" w:cs="宋体"/>
          <w:b/>
          <w:bCs/>
          <w:sz w:val="24"/>
          <w:szCs w:val="24"/>
          <w:lang w:val="zh-CN"/>
        </w:rPr>
        <w:t xml:space="preserve"> </w:t>
      </w:r>
    </w:p>
    <w:p w14:paraId="133EBEB1">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残疾人福利性单位声明函</w:t>
      </w:r>
    </w:p>
    <w:p w14:paraId="1CDCE29C">
      <w:pPr>
        <w:spacing w:line="588" w:lineRule="exact"/>
        <w:ind w:firstLine="48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1891FFB2">
      <w:pPr>
        <w:spacing w:line="588" w:lineRule="exact"/>
        <w:ind w:firstLine="48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7BE04D71">
      <w:pPr>
        <w:spacing w:line="588" w:lineRule="exact"/>
        <w:ind w:firstLine="480"/>
        <w:rPr>
          <w:rFonts w:hint="eastAsia" w:ascii="宋体" w:hAnsi="宋体" w:cs="宋体"/>
          <w:sz w:val="24"/>
          <w:szCs w:val="24"/>
        </w:rPr>
      </w:pPr>
    </w:p>
    <w:p w14:paraId="2DF1E3D4">
      <w:pPr>
        <w:spacing w:line="588" w:lineRule="exact"/>
        <w:ind w:firstLine="480"/>
        <w:rPr>
          <w:rFonts w:hint="eastAsia" w:ascii="宋体" w:hAnsi="宋体" w:cs="宋体"/>
          <w:sz w:val="24"/>
          <w:szCs w:val="24"/>
        </w:rPr>
      </w:pPr>
    </w:p>
    <w:p w14:paraId="338C4968">
      <w:pPr>
        <w:spacing w:line="588" w:lineRule="exact"/>
        <w:ind w:firstLine="480"/>
        <w:rPr>
          <w:rFonts w:hint="eastAsia" w:ascii="宋体" w:hAnsi="宋体" w:cs="宋体"/>
          <w:sz w:val="24"/>
          <w:szCs w:val="24"/>
        </w:rPr>
      </w:pPr>
    </w:p>
    <w:p w14:paraId="7D115069">
      <w:pPr>
        <w:spacing w:line="588" w:lineRule="exact"/>
        <w:ind w:firstLine="480"/>
        <w:rPr>
          <w:rFonts w:hint="eastAsia" w:ascii="宋体" w:hAnsi="宋体" w:cs="宋体"/>
          <w:sz w:val="24"/>
          <w:szCs w:val="24"/>
        </w:rPr>
      </w:pPr>
    </w:p>
    <w:p w14:paraId="1BF533E4">
      <w:pPr>
        <w:rPr>
          <w:rFonts w:hint="eastAsia" w:ascii="宋体" w:hAnsi="宋体" w:cs="宋体"/>
          <w:sz w:val="24"/>
          <w:szCs w:val="24"/>
          <w:lang w:bidi="zh-CN"/>
        </w:rPr>
      </w:pPr>
      <w:r>
        <w:rPr>
          <w:rFonts w:hint="eastAsia" w:ascii="宋体" w:hAnsi="宋体" w:cs="宋体"/>
          <w:sz w:val="24"/>
          <w:szCs w:val="24"/>
          <w:lang w:bidi="zh-CN"/>
        </w:rPr>
        <w:t>注：1、供应商如不提供此声明函，价格将不做相应扣除。</w:t>
      </w:r>
    </w:p>
    <w:p w14:paraId="05A96AB5">
      <w:pPr>
        <w:spacing w:line="588" w:lineRule="exact"/>
        <w:ind w:firstLine="480"/>
        <w:rPr>
          <w:rFonts w:hint="eastAsia" w:ascii="宋体" w:hAnsi="宋体" w:cs="宋体"/>
          <w:spacing w:val="6"/>
          <w:sz w:val="24"/>
          <w:szCs w:val="24"/>
        </w:rPr>
      </w:pPr>
      <w:r>
        <w:rPr>
          <w:rFonts w:hint="eastAsia" w:ascii="宋体" w:hAnsi="宋体" w:cs="宋体"/>
          <w:sz w:val="24"/>
          <w:szCs w:val="24"/>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71AC201E">
      <w:pPr>
        <w:spacing w:line="588" w:lineRule="exact"/>
        <w:ind w:firstLine="504"/>
        <w:rPr>
          <w:rFonts w:hint="eastAsia" w:ascii="宋体" w:hAnsi="宋体" w:cs="宋体"/>
          <w:spacing w:val="6"/>
          <w:sz w:val="24"/>
          <w:szCs w:val="24"/>
        </w:rPr>
      </w:pPr>
    </w:p>
    <w:p w14:paraId="5C0479FB">
      <w:pPr>
        <w:tabs>
          <w:tab w:val="left" w:pos="4860"/>
        </w:tabs>
        <w:spacing w:line="480" w:lineRule="auto"/>
        <w:ind w:firstLine="504"/>
        <w:jc w:val="right"/>
        <w:rPr>
          <w:rFonts w:hint="eastAsia" w:ascii="宋体" w:hAnsi="宋体" w:cs="宋体"/>
          <w:sz w:val="24"/>
          <w:szCs w:val="24"/>
        </w:rPr>
      </w:pPr>
      <w:r>
        <w:rPr>
          <w:rFonts w:hint="eastAsia" w:ascii="宋体" w:hAnsi="宋体" w:cs="宋体"/>
          <w:spacing w:val="6"/>
          <w:sz w:val="24"/>
          <w:szCs w:val="24"/>
        </w:rPr>
        <w:t xml:space="preserve">             </w:t>
      </w:r>
      <w:r>
        <w:rPr>
          <w:rFonts w:hint="eastAsia" w:ascii="宋体" w:hAnsi="宋体" w:cs="宋体"/>
          <w:sz w:val="24"/>
          <w:szCs w:val="24"/>
        </w:rPr>
        <w:t xml:space="preserve">             供应商全称（</w:t>
      </w:r>
      <w:r>
        <w:rPr>
          <w:rFonts w:hint="eastAsia"/>
          <w:sz w:val="24"/>
          <w:szCs w:val="24"/>
          <w:lang w:bidi="zh-CN"/>
        </w:rPr>
        <w:t>盖</w:t>
      </w:r>
      <w:r>
        <w:rPr>
          <w:rFonts w:hint="eastAsia" w:ascii="宋体" w:hAnsi="宋体" w:cs="宋体"/>
          <w:sz w:val="24"/>
          <w:szCs w:val="24"/>
        </w:rPr>
        <w:t>章）：</w:t>
      </w:r>
    </w:p>
    <w:p w14:paraId="589EA858">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sz w:val="24"/>
          <w:szCs w:val="24"/>
        </w:rPr>
        <w:t xml:space="preserve">             </w:t>
      </w:r>
      <w:r>
        <w:rPr>
          <w:rFonts w:hint="eastAsia" w:ascii="宋体" w:hAnsi="宋体" w:cs="宋体"/>
          <w:color w:val="000000" w:themeColor="text1"/>
          <w:kern w:val="2"/>
          <w:sz w:val="24"/>
          <w:szCs w:val="24"/>
          <w14:textFill>
            <w14:solidFill>
              <w14:schemeClr w14:val="tx1"/>
            </w14:solidFill>
          </w14:textFill>
        </w:rPr>
        <w:t>日期：  年  月  日</w:t>
      </w:r>
    </w:p>
    <w:p w14:paraId="7994E2CC">
      <w:pPr>
        <w:tabs>
          <w:tab w:val="left" w:pos="4860"/>
        </w:tabs>
        <w:spacing w:line="588" w:lineRule="exact"/>
        <w:ind w:right="1560" w:firstLine="480"/>
        <w:jc w:val="center"/>
        <w:rPr>
          <w:rFonts w:hint="eastAsia" w:ascii="宋体" w:hAnsi="宋体" w:cs="宋体"/>
          <w:sz w:val="24"/>
          <w:szCs w:val="24"/>
        </w:rPr>
      </w:pPr>
    </w:p>
    <w:p w14:paraId="670B26AC">
      <w:pPr>
        <w:rPr>
          <w:rFonts w:eastAsia="方正黑体_GBK"/>
          <w:sz w:val="32"/>
          <w:szCs w:val="32"/>
        </w:rPr>
      </w:pPr>
    </w:p>
    <w:p w14:paraId="0DF37747">
      <w:pPr>
        <w:spacing w:line="300" w:lineRule="auto"/>
        <w:rPr>
          <w:b/>
          <w:bCs/>
          <w:sz w:val="32"/>
          <w:szCs w:val="32"/>
        </w:rPr>
      </w:pPr>
      <w:r>
        <w:rPr>
          <w:b/>
          <w:bCs/>
          <w:sz w:val="32"/>
          <w:szCs w:val="32"/>
        </w:rPr>
        <w:br w:type="page" w:clear="all"/>
      </w:r>
    </w:p>
    <w:p w14:paraId="27780026">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监狱和戒毒企业证明材料</w:t>
      </w:r>
    </w:p>
    <w:p w14:paraId="256536F8">
      <w:pPr>
        <w:spacing w:line="420" w:lineRule="exact"/>
        <w:ind w:firstLine="424"/>
        <w:rPr>
          <w:rFonts w:hint="eastAsia" w:ascii="宋体" w:hAnsi="宋体" w:cs="宋体"/>
          <w:sz w:val="24"/>
          <w:szCs w:val="24"/>
        </w:rPr>
      </w:pPr>
    </w:p>
    <w:p w14:paraId="3927E52A">
      <w:pPr>
        <w:spacing w:line="420" w:lineRule="exact"/>
        <w:ind w:firstLine="426"/>
        <w:rPr>
          <w:rFonts w:hint="eastAsia" w:ascii="宋体" w:hAnsi="宋体" w:cs="宋体"/>
          <w:b/>
          <w:sz w:val="24"/>
          <w:szCs w:val="24"/>
        </w:rPr>
      </w:pPr>
      <w:r>
        <w:rPr>
          <w:rFonts w:hint="eastAsia" w:ascii="宋体" w:hAnsi="宋体" w:cs="宋体"/>
          <w:b/>
          <w:sz w:val="24"/>
          <w:szCs w:val="24"/>
        </w:rPr>
        <w:t>（格式自拟）</w:t>
      </w:r>
    </w:p>
    <w:p w14:paraId="50085E79">
      <w:pPr>
        <w:spacing w:line="420" w:lineRule="exact"/>
        <w:ind w:firstLine="424"/>
        <w:rPr>
          <w:rFonts w:hint="eastAsia" w:ascii="宋体" w:hAnsi="宋体" w:cs="宋体"/>
          <w:sz w:val="24"/>
          <w:szCs w:val="24"/>
        </w:rPr>
      </w:pPr>
    </w:p>
    <w:p w14:paraId="7965EA86">
      <w:pPr>
        <w:spacing w:line="420" w:lineRule="exact"/>
        <w:ind w:firstLine="566"/>
        <w:rPr>
          <w:rFonts w:hint="eastAsia" w:ascii="宋体" w:hAnsi="宋体" w:cs="宋体"/>
          <w:sz w:val="24"/>
          <w:szCs w:val="24"/>
        </w:rPr>
      </w:pPr>
      <w:r>
        <w:rPr>
          <w:rFonts w:hint="eastAsia" w:ascii="宋体" w:hAnsi="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C839E4C">
      <w:pPr>
        <w:rPr>
          <w:rFonts w:hint="eastAsia" w:ascii="宋体" w:hAnsi="宋体" w:cs="宋体"/>
          <w:sz w:val="24"/>
          <w:szCs w:val="24"/>
        </w:rPr>
      </w:pPr>
    </w:p>
    <w:p w14:paraId="3F4062AC">
      <w:pPr>
        <w:rPr>
          <w:rFonts w:hint="eastAsia" w:ascii="宋体" w:hAnsi="宋体" w:cs="宋体"/>
          <w:sz w:val="24"/>
          <w:szCs w:val="24"/>
        </w:rPr>
      </w:pPr>
    </w:p>
    <w:p w14:paraId="79E4B12B">
      <w:pPr>
        <w:rPr>
          <w:rFonts w:hint="eastAsia" w:ascii="宋体" w:hAnsi="宋体" w:cs="宋体"/>
          <w:sz w:val="24"/>
          <w:szCs w:val="24"/>
        </w:rPr>
      </w:pPr>
    </w:p>
    <w:p w14:paraId="7B8F50D1">
      <w:pPr>
        <w:rPr>
          <w:rFonts w:hint="eastAsia" w:ascii="宋体" w:hAnsi="宋体" w:cs="宋体"/>
          <w:sz w:val="24"/>
          <w:szCs w:val="24"/>
        </w:rPr>
      </w:pPr>
    </w:p>
    <w:p w14:paraId="0F0C97E7">
      <w:pPr>
        <w:rPr>
          <w:rFonts w:hint="eastAsia" w:ascii="宋体" w:hAnsi="宋体" w:cs="宋体"/>
          <w:sz w:val="24"/>
          <w:szCs w:val="24"/>
        </w:rPr>
      </w:pPr>
    </w:p>
    <w:p w14:paraId="7D8146D0">
      <w:pPr>
        <w:rPr>
          <w:rFonts w:hint="eastAsia" w:ascii="宋体" w:hAnsi="宋体" w:cs="宋体"/>
          <w:sz w:val="24"/>
          <w:szCs w:val="24"/>
        </w:rPr>
      </w:pPr>
    </w:p>
    <w:p w14:paraId="547A1516">
      <w:pPr>
        <w:ind w:firstLine="480"/>
        <w:rPr>
          <w:rFonts w:hint="eastAsia" w:ascii="宋体" w:hAnsi="宋体" w:cs="宋体"/>
          <w:sz w:val="24"/>
          <w:szCs w:val="24"/>
        </w:rPr>
      </w:pPr>
      <w:r>
        <w:rPr>
          <w:rFonts w:hint="eastAsia" w:ascii="宋体" w:hAnsi="宋体" w:cs="宋体"/>
          <w:sz w:val="24"/>
          <w:szCs w:val="24"/>
        </w:rPr>
        <w:t>注：1、供应商如不提供此声明函，价格将不做相应扣除。</w:t>
      </w:r>
    </w:p>
    <w:p w14:paraId="4DDB4437">
      <w:pPr>
        <w:ind w:firstLine="480"/>
        <w:rPr>
          <w:rFonts w:hint="eastAsia" w:ascii="宋体" w:hAnsi="宋体" w:cs="宋体"/>
          <w:sz w:val="24"/>
          <w:szCs w:val="24"/>
        </w:rPr>
      </w:pPr>
      <w:r>
        <w:rPr>
          <w:rFonts w:hint="eastAsia" w:ascii="宋体" w:hAnsi="宋体" w:cs="宋体"/>
          <w:sz w:val="24"/>
          <w:szCs w:val="24"/>
        </w:rPr>
        <w:t>2、中标供应商为监狱企业的，此声明函将随中标结果同时公告，接受社会监督。供应商按照本办法规定提供声明函内容不实的，属于提供虚假材料谋取中标、成交，依照《中华人民共和国政府采购法》等国家有关规定追究相应责任。</w:t>
      </w:r>
    </w:p>
    <w:p w14:paraId="0E03D351">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6E21190C">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55FDA194">
      <w:pPr>
        <w:tabs>
          <w:tab w:val="left" w:pos="5665"/>
          <w:tab w:val="right" w:pos="8360"/>
        </w:tabs>
        <w:snapToGrid w:val="0"/>
        <w:spacing w:line="360" w:lineRule="auto"/>
        <w:ind w:right="42"/>
        <w:jc w:val="center"/>
        <w:textAlignment w:val="baseline"/>
        <w:rPr>
          <w:rFonts w:hint="eastAsia" w:ascii="宋体" w:hAnsi="宋体" w:cs="宋体"/>
          <w:color w:val="000000" w:themeColor="text1"/>
          <w:kern w:val="2"/>
          <w:sz w:val="28"/>
          <w:szCs w:val="28"/>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br w:type="page"/>
      </w:r>
    </w:p>
    <w:p w14:paraId="7E2C808E">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商务部分正负偏离表</w:t>
      </w:r>
    </w:p>
    <w:p w14:paraId="0C4CC6F8">
      <w:pPr>
        <w:ind w:firstLine="560" w:firstLineChars="200"/>
        <w:jc w:val="center"/>
        <w:rPr>
          <w:rFonts w:hint="eastAsia" w:ascii="宋体" w:hAnsi="宋体"/>
          <w:color w:val="000000" w:themeColor="text1"/>
          <w:kern w:val="2"/>
          <w:sz w:val="28"/>
          <w:szCs w:val="28"/>
          <w14:textFill>
            <w14:solidFill>
              <w14:schemeClr w14:val="tx1"/>
            </w14:solidFill>
          </w14:textFill>
        </w:rPr>
      </w:pPr>
      <w:r>
        <w:rPr>
          <w:rFonts w:hint="eastAsia" w:ascii="宋体" w:hAnsi="宋体"/>
          <w:color w:val="000000" w:themeColor="text1"/>
          <w:kern w:val="2"/>
          <w:sz w:val="28"/>
          <w:szCs w:val="28"/>
          <w14:textFill>
            <w14:solidFill>
              <w14:schemeClr w14:val="tx1"/>
            </w14:solidFill>
          </w14:textFill>
        </w:rPr>
        <w:t>（由供应商据实填写，表格不够自行添加）</w:t>
      </w:r>
    </w:p>
    <w:tbl>
      <w:tblPr>
        <w:tblStyle w:val="5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2"/>
        <w:gridCol w:w="2485"/>
        <w:gridCol w:w="2171"/>
        <w:gridCol w:w="2800"/>
        <w:gridCol w:w="1541"/>
      </w:tblGrid>
      <w:tr w14:paraId="23C57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879C379">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724CFFAD">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EF98078">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磋商文件要求的商务条款</w:t>
            </w:r>
          </w:p>
        </w:tc>
        <w:tc>
          <w:tcPr>
            <w:tcW w:w="1412" w:type="pct"/>
            <w:tcBorders>
              <w:top w:val="single" w:color="auto" w:sz="12" w:space="0"/>
              <w:left w:val="single" w:color="auto" w:sz="6" w:space="0"/>
              <w:bottom w:val="single" w:color="auto" w:sz="6" w:space="0"/>
              <w:right w:val="single" w:color="auto" w:sz="6" w:space="0"/>
            </w:tcBorders>
            <w:vAlign w:val="center"/>
          </w:tcPr>
          <w:p w14:paraId="14C22F5F">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响应文件响应情况</w:t>
            </w:r>
          </w:p>
        </w:tc>
        <w:tc>
          <w:tcPr>
            <w:tcW w:w="777" w:type="pct"/>
            <w:tcBorders>
              <w:top w:val="single" w:color="auto" w:sz="12" w:space="0"/>
              <w:left w:val="single" w:color="auto" w:sz="6" w:space="0"/>
              <w:bottom w:val="single" w:color="auto" w:sz="6" w:space="0"/>
              <w:right w:val="single" w:color="auto" w:sz="12" w:space="0"/>
            </w:tcBorders>
          </w:tcPr>
          <w:p w14:paraId="78A016B1">
            <w:pPr>
              <w:spacing w:line="340" w:lineRule="exact"/>
              <w:jc w:val="center"/>
              <w:rPr>
                <w:rFonts w:hint="eastAsia" w:ascii="宋体" w:hAnsi="宋体"/>
                <w:color w:val="000000" w:themeColor="text1"/>
                <w:kern w:val="2"/>
                <w:sz w:val="24"/>
                <w:szCs w:val="24"/>
                <w14:textFill>
                  <w14:solidFill>
                    <w14:schemeClr w14:val="tx1"/>
                  </w14:solidFill>
                </w14:textFill>
              </w:rPr>
            </w:pPr>
          </w:p>
          <w:p w14:paraId="30937392">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偏离说明</w:t>
            </w:r>
          </w:p>
        </w:tc>
      </w:tr>
      <w:tr w14:paraId="7CABF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vAlign w:val="center"/>
          </w:tcPr>
          <w:p w14:paraId="699337BD">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w:t>
            </w:r>
          </w:p>
        </w:tc>
        <w:tc>
          <w:tcPr>
            <w:tcW w:w="1253" w:type="pct"/>
            <w:tcBorders>
              <w:top w:val="single" w:color="auto" w:sz="6" w:space="0"/>
              <w:left w:val="single" w:color="auto" w:sz="6" w:space="0"/>
              <w:bottom w:val="single" w:color="auto" w:sz="6" w:space="0"/>
              <w:right w:val="single" w:color="auto" w:sz="6" w:space="0"/>
            </w:tcBorders>
            <w:vAlign w:val="center"/>
          </w:tcPr>
          <w:p w14:paraId="4FCE362F">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50191D3">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184422F2">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08FD68D9">
            <w:pPr>
              <w:spacing w:line="340" w:lineRule="exact"/>
              <w:jc w:val="left"/>
              <w:rPr>
                <w:rFonts w:hint="eastAsia" w:ascii="宋体" w:hAnsi="宋体"/>
                <w:color w:val="000000" w:themeColor="text1"/>
                <w:kern w:val="2"/>
                <w:sz w:val="24"/>
                <w:szCs w:val="24"/>
                <w14:textFill>
                  <w14:solidFill>
                    <w14:schemeClr w14:val="tx1"/>
                  </w14:solidFill>
                </w14:textFill>
              </w:rPr>
            </w:pPr>
          </w:p>
        </w:tc>
      </w:tr>
      <w:tr w14:paraId="4F8E2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vAlign w:val="center"/>
          </w:tcPr>
          <w:p w14:paraId="6B83C02A">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w:t>
            </w:r>
          </w:p>
        </w:tc>
        <w:tc>
          <w:tcPr>
            <w:tcW w:w="1253" w:type="pct"/>
            <w:tcBorders>
              <w:top w:val="single" w:color="auto" w:sz="6" w:space="0"/>
              <w:left w:val="single" w:color="auto" w:sz="6" w:space="0"/>
              <w:bottom w:val="single" w:color="auto" w:sz="6" w:space="0"/>
              <w:right w:val="single" w:color="auto" w:sz="6" w:space="0"/>
            </w:tcBorders>
            <w:vAlign w:val="center"/>
          </w:tcPr>
          <w:p w14:paraId="3870022B">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C100FA7">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4F353FF3">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48E335A7">
            <w:pPr>
              <w:spacing w:line="340" w:lineRule="exact"/>
              <w:jc w:val="left"/>
              <w:rPr>
                <w:rFonts w:hint="eastAsia" w:ascii="宋体" w:hAnsi="宋体"/>
                <w:color w:val="000000" w:themeColor="text1"/>
                <w:kern w:val="2"/>
                <w:sz w:val="24"/>
                <w:szCs w:val="24"/>
                <w14:textFill>
                  <w14:solidFill>
                    <w14:schemeClr w14:val="tx1"/>
                  </w14:solidFill>
                </w14:textFill>
              </w:rPr>
            </w:pPr>
          </w:p>
        </w:tc>
      </w:tr>
      <w:tr w14:paraId="2C85A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60" w:type="pct"/>
            <w:tcBorders>
              <w:top w:val="single" w:color="auto" w:sz="6" w:space="0"/>
              <w:left w:val="single" w:color="auto" w:sz="12" w:space="0"/>
              <w:bottom w:val="single" w:color="auto" w:sz="6" w:space="0"/>
              <w:right w:val="single" w:color="auto" w:sz="6" w:space="0"/>
            </w:tcBorders>
            <w:vAlign w:val="center"/>
          </w:tcPr>
          <w:p w14:paraId="1ACDA838">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w:t>
            </w:r>
          </w:p>
        </w:tc>
        <w:tc>
          <w:tcPr>
            <w:tcW w:w="1253" w:type="pct"/>
            <w:tcBorders>
              <w:top w:val="single" w:color="auto" w:sz="6" w:space="0"/>
              <w:left w:val="single" w:color="auto" w:sz="6" w:space="0"/>
              <w:bottom w:val="single" w:color="auto" w:sz="6" w:space="0"/>
              <w:right w:val="single" w:color="auto" w:sz="6" w:space="0"/>
            </w:tcBorders>
            <w:vAlign w:val="center"/>
          </w:tcPr>
          <w:p w14:paraId="5EBB3685">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451E95EA">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3A43E7A1">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5A19D823">
            <w:pPr>
              <w:spacing w:line="340" w:lineRule="exact"/>
              <w:jc w:val="left"/>
              <w:rPr>
                <w:rFonts w:hint="eastAsia" w:ascii="宋体" w:hAnsi="宋体"/>
                <w:color w:val="000000" w:themeColor="text1"/>
                <w:kern w:val="2"/>
                <w:sz w:val="24"/>
                <w:szCs w:val="24"/>
                <w14:textFill>
                  <w14:solidFill>
                    <w14:schemeClr w14:val="tx1"/>
                  </w14:solidFill>
                </w14:textFill>
              </w:rPr>
            </w:pPr>
          </w:p>
        </w:tc>
      </w:tr>
    </w:tbl>
    <w:p w14:paraId="1828E1D6">
      <w:pPr>
        <w:snapToGrid w:val="0"/>
        <w:spacing w:line="300" w:lineRule="auto"/>
        <w:contextualSpacing/>
        <w:rPr>
          <w:rFonts w:hint="eastAsia" w:ascii="宋体" w:hAnsi="宋体"/>
          <w:b/>
          <w:color w:val="000000" w:themeColor="text1"/>
          <w:kern w:val="2"/>
          <w:sz w:val="24"/>
          <w:szCs w:val="24"/>
          <w14:textFill>
            <w14:solidFill>
              <w14:schemeClr w14:val="tx1"/>
            </w14:solidFill>
          </w14:textFill>
        </w:rPr>
      </w:pPr>
      <w:r>
        <w:rPr>
          <w:rFonts w:hint="eastAsia" w:ascii="宋体" w:hAnsi="宋体"/>
          <w:b/>
          <w:color w:val="000000" w:themeColor="text1"/>
          <w:kern w:val="2"/>
          <w:sz w:val="24"/>
          <w:szCs w:val="24"/>
          <w14:textFill>
            <w14:solidFill>
              <w14:schemeClr w14:val="tx1"/>
            </w14:solidFill>
          </w14:textFill>
        </w:rPr>
        <w:t>注：</w:t>
      </w:r>
    </w:p>
    <w:p w14:paraId="736C9B04">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1.供应商提交的响应文件中与磋商文件第三部分“项目需求”中的商务部分的要求，如有偏离，应逐条填列在偏离表中。如完全响应，可空白列示。</w:t>
      </w:r>
    </w:p>
    <w:p w14:paraId="2883E536">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2.“偏离说明”一栏选择“正偏离”、“无偏离”、“负偏离”进行填写。正偏离、无偏离的确认和负偏离的是否响应采购文件，由磋商小组认定。</w:t>
      </w:r>
    </w:p>
    <w:p w14:paraId="66FD0CBA">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3.供应商如果虚假响应，将被暂停参加采购单位组织的任何采购活动。</w:t>
      </w:r>
    </w:p>
    <w:p w14:paraId="276C35A6">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4.供应商若提供其他增值服务，可以在表中自行据实填写。</w:t>
      </w:r>
    </w:p>
    <w:p w14:paraId="278C0772">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2067515">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0CC68A3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7B0FC74">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1BD1C8E2">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5A14384D">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78D99DE4">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04F6FDF1">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73D4EEFF">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4AE1AA4B">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技术部分正负偏离表</w:t>
      </w:r>
    </w:p>
    <w:p w14:paraId="4E4ECA40">
      <w:pPr>
        <w:ind w:firstLine="560" w:firstLineChars="200"/>
        <w:jc w:val="center"/>
        <w:rPr>
          <w:rFonts w:hint="eastAsia" w:ascii="宋体" w:hAnsi="宋体"/>
          <w:color w:val="000000" w:themeColor="text1"/>
          <w:kern w:val="2"/>
          <w:sz w:val="28"/>
          <w:szCs w:val="28"/>
          <w14:textFill>
            <w14:solidFill>
              <w14:schemeClr w14:val="tx1"/>
            </w14:solidFill>
          </w14:textFill>
        </w:rPr>
      </w:pPr>
      <w:r>
        <w:rPr>
          <w:rFonts w:hint="eastAsia" w:ascii="宋体" w:hAnsi="宋体"/>
          <w:color w:val="000000" w:themeColor="text1"/>
          <w:kern w:val="2"/>
          <w:sz w:val="28"/>
          <w:szCs w:val="28"/>
          <w14:textFill>
            <w14:solidFill>
              <w14:schemeClr w14:val="tx1"/>
            </w14:solidFill>
          </w14:textFill>
        </w:rPr>
        <w:t>（由供应商据实填写，表格不够自行添加）</w:t>
      </w:r>
    </w:p>
    <w:tbl>
      <w:tblPr>
        <w:tblStyle w:val="5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1"/>
        <w:gridCol w:w="1761"/>
        <w:gridCol w:w="3813"/>
        <w:gridCol w:w="2157"/>
        <w:gridCol w:w="1267"/>
      </w:tblGrid>
      <w:tr w14:paraId="1E460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FB1CC45">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序号</w:t>
            </w:r>
          </w:p>
        </w:tc>
        <w:tc>
          <w:tcPr>
            <w:tcW w:w="888" w:type="pct"/>
            <w:tcBorders>
              <w:top w:val="single" w:color="auto" w:sz="12" w:space="0"/>
              <w:left w:val="single" w:color="auto" w:sz="6" w:space="0"/>
              <w:bottom w:val="single" w:color="auto" w:sz="6" w:space="0"/>
              <w:right w:val="single" w:color="auto" w:sz="6" w:space="0"/>
            </w:tcBorders>
            <w:vAlign w:val="center"/>
          </w:tcPr>
          <w:p w14:paraId="22F656CC">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服务名称</w:t>
            </w:r>
          </w:p>
        </w:tc>
        <w:tc>
          <w:tcPr>
            <w:tcW w:w="1923" w:type="pct"/>
            <w:tcBorders>
              <w:top w:val="single" w:color="auto" w:sz="12" w:space="0"/>
              <w:left w:val="single" w:color="auto" w:sz="6" w:space="0"/>
              <w:bottom w:val="single" w:color="auto" w:sz="6" w:space="0"/>
              <w:right w:val="single" w:color="auto" w:sz="6" w:space="0"/>
            </w:tcBorders>
            <w:vAlign w:val="center"/>
          </w:tcPr>
          <w:p w14:paraId="5F6CA0E1">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磋商文件要求的技术要求</w:t>
            </w:r>
          </w:p>
        </w:tc>
        <w:tc>
          <w:tcPr>
            <w:tcW w:w="1088" w:type="pct"/>
            <w:tcBorders>
              <w:top w:val="single" w:color="auto" w:sz="12" w:space="0"/>
              <w:left w:val="single" w:color="auto" w:sz="6" w:space="0"/>
              <w:bottom w:val="single" w:color="auto" w:sz="6" w:space="0"/>
              <w:right w:val="single" w:color="auto" w:sz="6" w:space="0"/>
            </w:tcBorders>
            <w:vAlign w:val="center"/>
          </w:tcPr>
          <w:p w14:paraId="6564D098">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响应文件响应情况</w:t>
            </w:r>
          </w:p>
        </w:tc>
        <w:tc>
          <w:tcPr>
            <w:tcW w:w="639" w:type="pct"/>
            <w:tcBorders>
              <w:top w:val="single" w:color="auto" w:sz="12" w:space="0"/>
              <w:left w:val="single" w:color="auto" w:sz="6" w:space="0"/>
              <w:bottom w:val="single" w:color="auto" w:sz="6" w:space="0"/>
              <w:right w:val="single" w:color="auto" w:sz="12" w:space="0"/>
            </w:tcBorders>
          </w:tcPr>
          <w:p w14:paraId="67A356E5">
            <w:pPr>
              <w:jc w:val="center"/>
              <w:rPr>
                <w:rFonts w:hint="eastAsia" w:ascii="宋体" w:hAnsi="宋体"/>
                <w:color w:val="000000" w:themeColor="text1"/>
                <w:kern w:val="2"/>
                <w:sz w:val="24"/>
                <w:szCs w:val="24"/>
                <w14:textFill>
                  <w14:solidFill>
                    <w14:schemeClr w14:val="tx1"/>
                  </w14:solidFill>
                </w14:textFill>
              </w:rPr>
            </w:pPr>
          </w:p>
          <w:p w14:paraId="00497CD1">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偏离说明</w:t>
            </w:r>
          </w:p>
        </w:tc>
      </w:tr>
      <w:tr w14:paraId="342B1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460" w:type="pct"/>
            <w:tcBorders>
              <w:top w:val="single" w:color="auto" w:sz="6" w:space="0"/>
              <w:left w:val="single" w:color="auto" w:sz="12" w:space="0"/>
              <w:bottom w:val="single" w:color="auto" w:sz="6" w:space="0"/>
              <w:right w:val="single" w:color="auto" w:sz="6" w:space="0"/>
            </w:tcBorders>
            <w:vAlign w:val="center"/>
          </w:tcPr>
          <w:p w14:paraId="7F981F4A">
            <w:pPr>
              <w:jc w:val="center"/>
              <w:rPr>
                <w:rFonts w:hint="eastAsia" w:ascii="宋体" w:hAnsi="宋体"/>
                <w:color w:val="000000" w:themeColor="text1"/>
                <w:kern w:val="2"/>
                <w:szCs w:val="2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1</w:t>
            </w:r>
          </w:p>
        </w:tc>
        <w:tc>
          <w:tcPr>
            <w:tcW w:w="888" w:type="pct"/>
            <w:tcBorders>
              <w:top w:val="single" w:color="auto" w:sz="6" w:space="0"/>
              <w:left w:val="single" w:color="auto" w:sz="6" w:space="0"/>
              <w:bottom w:val="single" w:color="auto" w:sz="6" w:space="0"/>
              <w:right w:val="single" w:color="auto" w:sz="6" w:space="0"/>
            </w:tcBorders>
            <w:vAlign w:val="center"/>
          </w:tcPr>
          <w:p w14:paraId="09F54CAD">
            <w:pPr>
              <w:jc w:val="center"/>
              <w:rPr>
                <w:rFonts w:hint="eastAsia" w:ascii="宋体" w:hAnsi="宋体"/>
                <w:color w:val="000000" w:themeColor="text1"/>
                <w:kern w:val="2"/>
                <w:szCs w:val="21"/>
                <w:highlight w:val="yellow"/>
                <w14:textFill>
                  <w14:solidFill>
                    <w14:schemeClr w14:val="tx1"/>
                  </w14:solidFill>
                </w14:textFill>
              </w:rPr>
            </w:pPr>
          </w:p>
        </w:tc>
        <w:tc>
          <w:tcPr>
            <w:tcW w:w="1923" w:type="pct"/>
            <w:tcBorders>
              <w:top w:val="single" w:color="auto" w:sz="6" w:space="0"/>
              <w:left w:val="single" w:color="auto" w:sz="6" w:space="0"/>
              <w:bottom w:val="single" w:color="auto" w:sz="6" w:space="0"/>
              <w:right w:val="single" w:color="auto" w:sz="6" w:space="0"/>
            </w:tcBorders>
            <w:vAlign w:val="center"/>
          </w:tcPr>
          <w:p w14:paraId="73C1FFE1">
            <w:pPr>
              <w:jc w:val="left"/>
              <w:rPr>
                <w:rFonts w:hint="eastAsia" w:ascii="宋体" w:hAnsi="宋体"/>
                <w:color w:val="000000" w:themeColor="text1"/>
                <w:kern w:val="2"/>
                <w:szCs w:val="21"/>
                <w14:textFill>
                  <w14:solidFill>
                    <w14:schemeClr w14:val="tx1"/>
                  </w14:solidFill>
                </w14:textFill>
              </w:rPr>
            </w:pPr>
          </w:p>
        </w:tc>
        <w:tc>
          <w:tcPr>
            <w:tcW w:w="1088" w:type="pct"/>
            <w:tcBorders>
              <w:top w:val="single" w:color="auto" w:sz="6" w:space="0"/>
              <w:left w:val="single" w:color="auto" w:sz="6" w:space="0"/>
              <w:bottom w:val="single" w:color="auto" w:sz="6" w:space="0"/>
              <w:right w:val="single" w:color="auto" w:sz="6" w:space="0"/>
            </w:tcBorders>
            <w:vAlign w:val="center"/>
          </w:tcPr>
          <w:p w14:paraId="54287BB8">
            <w:pPr>
              <w:jc w:val="left"/>
              <w:rPr>
                <w:rFonts w:hint="eastAsia" w:ascii="宋体" w:hAnsi="宋体"/>
                <w:color w:val="000000" w:themeColor="text1"/>
                <w:kern w:val="2"/>
                <w:szCs w:val="21"/>
                <w14:textFill>
                  <w14:solidFill>
                    <w14:schemeClr w14:val="tx1"/>
                  </w14:solidFill>
                </w14:textFill>
              </w:rPr>
            </w:pPr>
          </w:p>
        </w:tc>
        <w:tc>
          <w:tcPr>
            <w:tcW w:w="639" w:type="pct"/>
            <w:tcBorders>
              <w:top w:val="single" w:color="auto" w:sz="6" w:space="0"/>
              <w:left w:val="single" w:color="auto" w:sz="6" w:space="0"/>
              <w:bottom w:val="single" w:color="auto" w:sz="6" w:space="0"/>
              <w:right w:val="single" w:color="auto" w:sz="12" w:space="0"/>
            </w:tcBorders>
          </w:tcPr>
          <w:p w14:paraId="301F19BC">
            <w:pPr>
              <w:jc w:val="left"/>
              <w:rPr>
                <w:rFonts w:hint="eastAsia" w:ascii="宋体" w:hAnsi="宋体"/>
                <w:color w:val="000000" w:themeColor="text1"/>
                <w:kern w:val="2"/>
                <w:szCs w:val="21"/>
                <w14:textFill>
                  <w14:solidFill>
                    <w14:schemeClr w14:val="tx1"/>
                  </w14:solidFill>
                </w14:textFill>
              </w:rPr>
            </w:pPr>
          </w:p>
        </w:tc>
      </w:tr>
      <w:tr w14:paraId="5691E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460" w:type="pct"/>
            <w:tcBorders>
              <w:top w:val="single" w:color="auto" w:sz="6" w:space="0"/>
              <w:left w:val="single" w:color="auto" w:sz="12" w:space="0"/>
              <w:bottom w:val="single" w:color="auto" w:sz="6" w:space="0"/>
              <w:right w:val="single" w:color="auto" w:sz="6" w:space="0"/>
            </w:tcBorders>
            <w:vAlign w:val="center"/>
          </w:tcPr>
          <w:p w14:paraId="4A25A901">
            <w:pPr>
              <w:jc w:val="center"/>
              <w:rPr>
                <w:rFonts w:hint="eastAsia" w:ascii="宋体" w:hAnsi="宋体"/>
                <w:color w:val="000000" w:themeColor="text1"/>
                <w:kern w:val="2"/>
                <w:szCs w:val="2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2</w:t>
            </w:r>
          </w:p>
        </w:tc>
        <w:tc>
          <w:tcPr>
            <w:tcW w:w="888" w:type="pct"/>
            <w:tcBorders>
              <w:top w:val="single" w:color="auto" w:sz="6" w:space="0"/>
              <w:left w:val="single" w:color="auto" w:sz="6" w:space="0"/>
              <w:bottom w:val="single" w:color="auto" w:sz="6" w:space="0"/>
              <w:right w:val="single" w:color="auto" w:sz="6" w:space="0"/>
            </w:tcBorders>
            <w:vAlign w:val="center"/>
          </w:tcPr>
          <w:p w14:paraId="07E89F64">
            <w:pPr>
              <w:jc w:val="center"/>
              <w:rPr>
                <w:rFonts w:hint="eastAsia" w:ascii="宋体" w:hAnsi="宋体"/>
                <w:color w:val="000000" w:themeColor="text1"/>
                <w:kern w:val="2"/>
                <w:szCs w:val="21"/>
                <w:highlight w:val="yellow"/>
                <w14:textFill>
                  <w14:solidFill>
                    <w14:schemeClr w14:val="tx1"/>
                  </w14:solidFill>
                </w14:textFill>
              </w:rPr>
            </w:pPr>
          </w:p>
        </w:tc>
        <w:tc>
          <w:tcPr>
            <w:tcW w:w="1923" w:type="pct"/>
            <w:tcBorders>
              <w:top w:val="single" w:color="auto" w:sz="6" w:space="0"/>
              <w:left w:val="single" w:color="auto" w:sz="6" w:space="0"/>
              <w:bottom w:val="single" w:color="auto" w:sz="6" w:space="0"/>
              <w:right w:val="single" w:color="auto" w:sz="6" w:space="0"/>
            </w:tcBorders>
            <w:vAlign w:val="center"/>
          </w:tcPr>
          <w:p w14:paraId="655F99D0">
            <w:pPr>
              <w:widowControl/>
              <w:snapToGrid w:val="0"/>
              <w:ind w:firstLine="420" w:firstLineChars="200"/>
              <w:rPr>
                <w:rFonts w:ascii="Times New Roman" w:hAnsi="Times New Roman" w:cs="宋体"/>
                <w:bCs/>
                <w:color w:val="000000" w:themeColor="text1"/>
                <w:szCs w:val="21"/>
                <w14:textFill>
                  <w14:solidFill>
                    <w14:schemeClr w14:val="tx1"/>
                  </w14:solidFill>
                </w14:textFill>
              </w:rPr>
            </w:pPr>
          </w:p>
        </w:tc>
        <w:tc>
          <w:tcPr>
            <w:tcW w:w="1088" w:type="pct"/>
            <w:tcBorders>
              <w:top w:val="single" w:color="auto" w:sz="6" w:space="0"/>
              <w:left w:val="single" w:color="auto" w:sz="6" w:space="0"/>
              <w:bottom w:val="single" w:color="auto" w:sz="6" w:space="0"/>
              <w:right w:val="single" w:color="auto" w:sz="6" w:space="0"/>
            </w:tcBorders>
            <w:vAlign w:val="center"/>
          </w:tcPr>
          <w:p w14:paraId="4B343B87">
            <w:pPr>
              <w:jc w:val="left"/>
              <w:rPr>
                <w:rFonts w:hint="eastAsia" w:ascii="宋体" w:hAnsi="宋体"/>
                <w:color w:val="000000" w:themeColor="text1"/>
                <w:kern w:val="2"/>
                <w:szCs w:val="21"/>
                <w14:textFill>
                  <w14:solidFill>
                    <w14:schemeClr w14:val="tx1"/>
                  </w14:solidFill>
                </w14:textFill>
              </w:rPr>
            </w:pPr>
          </w:p>
        </w:tc>
        <w:tc>
          <w:tcPr>
            <w:tcW w:w="639" w:type="pct"/>
            <w:tcBorders>
              <w:top w:val="single" w:color="auto" w:sz="6" w:space="0"/>
              <w:left w:val="single" w:color="auto" w:sz="6" w:space="0"/>
              <w:bottom w:val="single" w:color="auto" w:sz="6" w:space="0"/>
              <w:right w:val="single" w:color="auto" w:sz="12" w:space="0"/>
            </w:tcBorders>
          </w:tcPr>
          <w:p w14:paraId="17905255">
            <w:pPr>
              <w:jc w:val="left"/>
              <w:rPr>
                <w:rFonts w:hint="eastAsia" w:ascii="宋体" w:hAnsi="宋体"/>
                <w:color w:val="000000" w:themeColor="text1"/>
                <w:kern w:val="2"/>
                <w:szCs w:val="21"/>
                <w14:textFill>
                  <w14:solidFill>
                    <w14:schemeClr w14:val="tx1"/>
                  </w14:solidFill>
                </w14:textFill>
              </w:rPr>
            </w:pPr>
          </w:p>
        </w:tc>
      </w:tr>
    </w:tbl>
    <w:p w14:paraId="3C260624">
      <w:pPr>
        <w:snapToGrid w:val="0"/>
        <w:spacing w:line="300" w:lineRule="auto"/>
        <w:contextualSpacing/>
        <w:rPr>
          <w:rFonts w:hint="eastAsia" w:ascii="宋体" w:hAnsi="宋体"/>
          <w:b/>
          <w:color w:val="000000" w:themeColor="text1"/>
          <w:kern w:val="2"/>
          <w:sz w:val="24"/>
          <w:szCs w:val="24"/>
          <w14:textFill>
            <w14:solidFill>
              <w14:schemeClr w14:val="tx1"/>
            </w14:solidFill>
          </w14:textFill>
        </w:rPr>
      </w:pPr>
      <w:r>
        <w:rPr>
          <w:rFonts w:hint="eastAsia" w:ascii="宋体" w:hAnsi="宋体"/>
          <w:b/>
          <w:color w:val="000000" w:themeColor="text1"/>
          <w:kern w:val="2"/>
          <w:sz w:val="24"/>
          <w:szCs w:val="24"/>
          <w14:textFill>
            <w14:solidFill>
              <w14:schemeClr w14:val="tx1"/>
            </w14:solidFill>
          </w14:textFill>
        </w:rPr>
        <w:t>注：</w:t>
      </w:r>
    </w:p>
    <w:p w14:paraId="19C66667">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1.供应商提交的响应文件中与磋商文件第三部分“项目需求”中的技术部分的要求，如有偏离，应逐条填列在偏离表中。如完全响应，可空白列示。</w:t>
      </w:r>
    </w:p>
    <w:p w14:paraId="6B53304B">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2.“偏离说明”一栏选择“正偏离”、“无偏离”、“负偏离”进行填写。正偏离、无偏离的确认和负偏离的是否响应采购文件，由磋商小组认定。</w:t>
      </w:r>
    </w:p>
    <w:p w14:paraId="717093E5">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3.供应商如果虚假响应，将被暂停参加采购单位组织的任何采购活动。</w:t>
      </w:r>
    </w:p>
    <w:p w14:paraId="54E35147">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4.供应商若提供其他增值服务，可以在表中自行据实填写。</w:t>
      </w:r>
    </w:p>
    <w:p w14:paraId="031A3780">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p>
    <w:p w14:paraId="2FB1E2B1">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0231BA1E">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327587A9">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61E22B45">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CA2DDD8">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F2570E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6A6901B1">
      <w:pPr>
        <w:widowControl/>
        <w:snapToGrid w:val="0"/>
        <w:spacing w:line="360" w:lineRule="auto"/>
        <w:ind w:firstLine="480" w:firstLineChars="200"/>
        <w:contextualSpacing/>
        <w:jc w:val="center"/>
        <w:rPr>
          <w:rFonts w:hint="eastAsia" w:ascii="宋体" w:hAnsi="宋体" w:cs="宋体"/>
          <w:color w:val="000000" w:themeColor="text1"/>
          <w:sz w:val="32"/>
          <w:szCs w:val="32"/>
          <w14:textFill>
            <w14:solidFill>
              <w14:schemeClr w14:val="tx1"/>
            </w14:solidFill>
          </w14:textFill>
        </w:rPr>
      </w:pPr>
      <w:r>
        <w:rPr>
          <w:rFonts w:ascii="宋体" w:hAnsi="宋体" w:cs="宋体"/>
          <w:bCs/>
          <w:snapToGrid w:val="0"/>
          <w:color w:val="000000" w:themeColor="text1"/>
          <w:sz w:val="24"/>
          <w:szCs w:val="24"/>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报价总表</w:t>
      </w:r>
    </w:p>
    <w:p w14:paraId="5972D0D8">
      <w:pPr>
        <w:snapToGrid w:val="0"/>
        <w:textAlignment w:val="baseline"/>
        <w:rPr>
          <w:rFonts w:ascii="Times New Roman" w:hAnsi="Times New Roman"/>
          <w:color w:val="000000" w:themeColor="text1"/>
          <w:szCs w:val="21"/>
          <w14:textFill>
            <w14:solidFill>
              <w14:schemeClr w14:val="tx1"/>
            </w14:solidFill>
          </w14:textFill>
        </w:rPr>
      </w:pPr>
    </w:p>
    <w:tbl>
      <w:tblPr>
        <w:tblStyle w:val="58"/>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7711"/>
      </w:tblGrid>
      <w:tr w14:paraId="3141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42" w:type="dxa"/>
            <w:vAlign w:val="center"/>
          </w:tcPr>
          <w:p w14:paraId="24C2DDBD">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项目名称</w:t>
            </w:r>
          </w:p>
        </w:tc>
        <w:tc>
          <w:tcPr>
            <w:tcW w:w="7711" w:type="dxa"/>
            <w:vAlign w:val="center"/>
          </w:tcPr>
          <w:p w14:paraId="0BADD2F7">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南通市近岸海域水质调查与治理评估项目</w:t>
            </w:r>
          </w:p>
        </w:tc>
      </w:tr>
      <w:tr w14:paraId="07BA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42" w:type="dxa"/>
            <w:vAlign w:val="center"/>
          </w:tcPr>
          <w:p w14:paraId="36D77723">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项目编号</w:t>
            </w:r>
          </w:p>
        </w:tc>
        <w:tc>
          <w:tcPr>
            <w:tcW w:w="7711" w:type="dxa"/>
            <w:vAlign w:val="center"/>
          </w:tcPr>
          <w:p w14:paraId="03023BBB">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WY-20260128-010</w:t>
            </w:r>
          </w:p>
        </w:tc>
      </w:tr>
      <w:tr w14:paraId="7604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42" w:type="dxa"/>
            <w:vAlign w:val="center"/>
          </w:tcPr>
          <w:p w14:paraId="0BD27424">
            <w:pPr>
              <w:snapToGrid w:val="0"/>
              <w:spacing w:before="120" w:beforeLines="50"/>
              <w:jc w:val="center"/>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第1轮报价</w:t>
            </w:r>
          </w:p>
        </w:tc>
        <w:tc>
          <w:tcPr>
            <w:tcW w:w="7711" w:type="dxa"/>
            <w:vAlign w:val="center"/>
          </w:tcPr>
          <w:p w14:paraId="23BE43E4">
            <w:pPr>
              <w:widowControl/>
              <w:spacing w:line="360" w:lineRule="auto"/>
              <w:jc w:val="left"/>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 xml:space="preserve">大写：人民币   </w:t>
            </w:r>
            <w:r>
              <w:rPr>
                <w:rFonts w:hint="eastAsia" w:ascii="Times New Roman" w:hAnsi="Times New Roman"/>
                <w:color w:val="000000" w:themeColor="text1"/>
                <w:kern w:val="2"/>
                <w:sz w:val="24"/>
                <w:szCs w:val="24"/>
                <w:u w:val="single"/>
                <w14:textFill>
                  <w14:solidFill>
                    <w14:schemeClr w14:val="tx1"/>
                  </w14:solidFill>
                </w14:textFill>
              </w:rPr>
              <w:t>拾   万   仟   佰   拾   元   角   分</w:t>
            </w:r>
          </w:p>
          <w:p w14:paraId="553F3C99">
            <w:pPr>
              <w:widowControl/>
              <w:spacing w:line="360" w:lineRule="auto"/>
              <w:jc w:val="left"/>
              <w:rPr>
                <w:rFonts w:ascii="Times New Roman" w:hAnsi="Times New Roman"/>
                <w:color w:val="000000" w:themeColor="text1"/>
                <w:kern w:val="2"/>
                <w:szCs w:val="21"/>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小写：</w:t>
            </w:r>
            <w:r>
              <w:rPr>
                <w:rFonts w:hint="eastAsia" w:ascii="Times New Roman" w:hAnsi="Times New Roman"/>
                <w:color w:val="000000" w:themeColor="text1"/>
                <w:kern w:val="2"/>
                <w:sz w:val="24"/>
                <w:szCs w:val="24"/>
                <w:u w:val="single"/>
                <w14:textFill>
                  <w14:solidFill>
                    <w14:schemeClr w14:val="tx1"/>
                  </w14:solidFill>
                </w14:textFill>
              </w:rPr>
              <w:t xml:space="preserve">                                  元</w:t>
            </w:r>
          </w:p>
        </w:tc>
      </w:tr>
      <w:tr w14:paraId="31AC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42" w:type="dxa"/>
            <w:vAlign w:val="center"/>
          </w:tcPr>
          <w:p w14:paraId="2C0AE034">
            <w:pPr>
              <w:adjustRightInd w:val="0"/>
              <w:snapToGrid w:val="0"/>
              <w:jc w:val="center"/>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第2轮(最终)报价</w:t>
            </w:r>
          </w:p>
          <w:p w14:paraId="3848052E">
            <w:pPr>
              <w:pStyle w:val="221"/>
              <w:ind w:left="0" w:firstLine="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（供应商现场填写）</w:t>
            </w:r>
          </w:p>
        </w:tc>
        <w:tc>
          <w:tcPr>
            <w:tcW w:w="7711" w:type="dxa"/>
            <w:vAlign w:val="center"/>
          </w:tcPr>
          <w:p w14:paraId="3DFB8AD4">
            <w:pPr>
              <w:widowControl/>
              <w:spacing w:line="360" w:lineRule="auto"/>
              <w:jc w:val="left"/>
              <w:rPr>
                <w:rFonts w:ascii="Times New Roman" w:hAnsi="Times New Roman"/>
                <w:color w:val="000000" w:themeColor="text1"/>
                <w:kern w:val="2"/>
                <w:sz w:val="24"/>
                <w:szCs w:val="24"/>
                <w14:textFill>
                  <w14:solidFill>
                    <w14:schemeClr w14:val="tx1"/>
                  </w14:solidFill>
                </w14:textFill>
              </w:rPr>
            </w:pPr>
          </w:p>
          <w:p w14:paraId="7609CE0A">
            <w:pPr>
              <w:widowControl/>
              <w:spacing w:line="360" w:lineRule="auto"/>
              <w:jc w:val="left"/>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 xml:space="preserve">大写：人民币   </w:t>
            </w:r>
            <w:r>
              <w:rPr>
                <w:rFonts w:hint="eastAsia" w:ascii="Times New Roman" w:hAnsi="Times New Roman"/>
                <w:color w:val="000000" w:themeColor="text1"/>
                <w:kern w:val="2"/>
                <w:sz w:val="24"/>
                <w:szCs w:val="24"/>
                <w:u w:val="single"/>
                <w14:textFill>
                  <w14:solidFill>
                    <w14:schemeClr w14:val="tx1"/>
                  </w14:solidFill>
                </w14:textFill>
              </w:rPr>
              <w:t>拾   万   仟   佰   拾   元   角   分</w:t>
            </w:r>
          </w:p>
          <w:p w14:paraId="71324C77">
            <w:pPr>
              <w:widowControl/>
              <w:spacing w:line="360" w:lineRule="auto"/>
              <w:jc w:val="left"/>
              <w:rPr>
                <w:rFonts w:ascii="Times New Roman" w:hAnsi="Times New Roman"/>
                <w:color w:val="000000" w:themeColor="text1"/>
                <w:kern w:val="2"/>
                <w:sz w:val="24"/>
                <w:szCs w:val="24"/>
                <w:u w:val="single"/>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小写：</w:t>
            </w:r>
            <w:r>
              <w:rPr>
                <w:rFonts w:hint="eastAsia" w:ascii="Times New Roman" w:hAnsi="Times New Roman"/>
                <w:color w:val="000000" w:themeColor="text1"/>
                <w:kern w:val="2"/>
                <w:sz w:val="24"/>
                <w:szCs w:val="24"/>
                <w:u w:val="single"/>
                <w14:textFill>
                  <w14:solidFill>
                    <w14:schemeClr w14:val="tx1"/>
                  </w14:solidFill>
                </w14:textFill>
              </w:rPr>
              <w:t xml:space="preserve">                                 元</w:t>
            </w:r>
          </w:p>
        </w:tc>
      </w:tr>
      <w:tr w14:paraId="390B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42" w:type="dxa"/>
            <w:vAlign w:val="center"/>
          </w:tcPr>
          <w:p w14:paraId="4006FB62">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付款条件</w:t>
            </w:r>
          </w:p>
        </w:tc>
        <w:tc>
          <w:tcPr>
            <w:tcW w:w="7711" w:type="dxa"/>
            <w:vAlign w:val="center"/>
          </w:tcPr>
          <w:p w14:paraId="66E6A315">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完全接受并响应本项目磋商文件的要求。</w:t>
            </w:r>
          </w:p>
        </w:tc>
      </w:tr>
    </w:tbl>
    <w:p w14:paraId="0411E7C3">
      <w:pPr>
        <w:snapToGrid w:val="0"/>
        <w:spacing w:after="156"/>
        <w:textAlignment w:val="baseline"/>
        <w:rPr>
          <w:rFonts w:ascii="Times New Roman" w:hAnsi="Times New Roman"/>
          <w:color w:val="000000" w:themeColor="text1"/>
          <w:kern w:val="2"/>
          <w:szCs w:val="24"/>
          <w14:textFill>
            <w14:solidFill>
              <w14:schemeClr w14:val="tx1"/>
            </w14:solidFill>
          </w14:textFill>
        </w:rPr>
      </w:pPr>
    </w:p>
    <w:p w14:paraId="3DF4D405">
      <w:pPr>
        <w:snapToGrid w:val="0"/>
        <w:spacing w:line="360" w:lineRule="auto"/>
        <w:textAlignment w:val="baseline"/>
        <w:rPr>
          <w:rFonts w:hint="eastAsia" w:ascii="Times New Roman" w:hAnsi="宋体" w:cs="宋体"/>
          <w:b/>
          <w:color w:val="000000" w:themeColor="text1"/>
          <w:kern w:val="2"/>
          <w:sz w:val="24"/>
          <w:szCs w:val="28"/>
          <w14:textFill>
            <w14:solidFill>
              <w14:schemeClr w14:val="tx1"/>
            </w14:solidFill>
          </w14:textFill>
        </w:rPr>
      </w:pPr>
      <w:r>
        <w:rPr>
          <w:rFonts w:hint="eastAsia" w:ascii="Times New Roman" w:hAnsi="宋体" w:cs="宋体"/>
          <w:b/>
          <w:color w:val="000000" w:themeColor="text1"/>
          <w:kern w:val="2"/>
          <w:sz w:val="24"/>
          <w:szCs w:val="28"/>
          <w14:textFill>
            <w14:solidFill>
              <w14:schemeClr w14:val="tx1"/>
            </w14:solidFill>
          </w14:textFill>
        </w:rPr>
        <w:t>注：1、第2轮(最终)报价将在磋商时填写，响应文件密封提交时只需填写第1轮磋商报价。</w:t>
      </w:r>
    </w:p>
    <w:p w14:paraId="747695C9">
      <w:pPr>
        <w:snapToGrid w:val="0"/>
        <w:spacing w:line="360" w:lineRule="auto"/>
        <w:ind w:firstLine="482" w:firstLineChars="200"/>
        <w:textAlignment w:val="baseline"/>
        <w:rPr>
          <w:rFonts w:hint="eastAsia" w:ascii="Times New Roman" w:hAnsi="宋体" w:cs="宋体"/>
          <w:b/>
          <w:color w:val="000000" w:themeColor="text1"/>
          <w:kern w:val="2"/>
          <w:sz w:val="24"/>
          <w:szCs w:val="28"/>
          <w14:textFill>
            <w14:solidFill>
              <w14:schemeClr w14:val="tx1"/>
            </w14:solidFill>
          </w14:textFill>
        </w:rPr>
      </w:pPr>
      <w:r>
        <w:rPr>
          <w:rFonts w:hint="eastAsia" w:ascii="Times New Roman" w:hAnsi="宋体" w:cs="宋体"/>
          <w:b/>
          <w:color w:val="000000" w:themeColor="text1"/>
          <w:kern w:val="2"/>
          <w:sz w:val="24"/>
          <w:szCs w:val="28"/>
          <w14:textFill>
            <w14:solidFill>
              <w14:schemeClr w14:val="tx1"/>
            </w14:solidFill>
          </w14:textFill>
        </w:rPr>
        <w:t>2、本表式不得自行改动。</w:t>
      </w:r>
    </w:p>
    <w:p w14:paraId="045D3549">
      <w:pPr>
        <w:snapToGrid w:val="0"/>
        <w:spacing w:line="360" w:lineRule="auto"/>
        <w:textAlignment w:val="baseline"/>
        <w:rPr>
          <w:rFonts w:hint="eastAsia" w:ascii="宋体" w:hAnsi="宋体"/>
          <w:color w:val="000000" w:themeColor="text1"/>
          <w:szCs w:val="24"/>
          <w14:textFill>
            <w14:solidFill>
              <w14:schemeClr w14:val="tx1"/>
            </w14:solidFill>
          </w14:textFill>
        </w:rPr>
      </w:pPr>
    </w:p>
    <w:p w14:paraId="06D1EF57">
      <w:pPr>
        <w:tabs>
          <w:tab w:val="left" w:pos="5665"/>
          <w:tab w:val="right" w:pos="8360"/>
        </w:tabs>
        <w:snapToGrid w:val="0"/>
        <w:spacing w:line="360" w:lineRule="auto"/>
        <w:ind w:right="42" w:firstLine="1560" w:firstLineChars="650"/>
        <w:textAlignment w:val="baseline"/>
        <w:rPr>
          <w:rFonts w:hint="eastAsia" w:ascii="宋体" w:hAnsi="宋体" w:cs="宋体"/>
          <w:color w:val="000000" w:themeColor="text1"/>
          <w:kern w:val="2"/>
          <w:sz w:val="24"/>
          <w:szCs w:val="28"/>
          <w14:textFill>
            <w14:solidFill>
              <w14:schemeClr w14:val="tx1"/>
            </w14:solidFill>
          </w14:textFill>
        </w:rPr>
      </w:pPr>
    </w:p>
    <w:p w14:paraId="3ED78A76">
      <w:pPr>
        <w:snapToGrid w:val="0"/>
        <w:spacing w:line="360" w:lineRule="auto"/>
        <w:ind w:right="79"/>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竞争性磋商响应供应商：（单位盖章）</w:t>
      </w:r>
    </w:p>
    <w:p w14:paraId="6DE7B0FF">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6C7E288F">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lang w:val="zh-CN"/>
          <w14:textFill>
            <w14:solidFill>
              <w14:schemeClr w14:val="tx1"/>
            </w14:solidFill>
          </w14:textFill>
        </w:rPr>
      </w:pPr>
      <w:r>
        <w:rPr>
          <w:rFonts w:hint="eastAsia" w:ascii="宋体" w:hAnsi="宋体" w:cs="宋体"/>
          <w:color w:val="000000" w:themeColor="text1"/>
          <w:kern w:val="2"/>
          <w:sz w:val="24"/>
          <w:szCs w:val="28"/>
          <w:lang w:val="zh-CN"/>
          <w14:textFill>
            <w14:solidFill>
              <w14:schemeClr w14:val="tx1"/>
            </w14:solidFill>
          </w14:textFill>
        </w:rPr>
        <w:t>日期：年</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月</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日</w:t>
      </w:r>
    </w:p>
    <w:p w14:paraId="3EE6F4F4">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727F9955">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785DDAC5">
      <w:pPr>
        <w:widowControl/>
        <w:snapToGrid w:val="0"/>
        <w:spacing w:line="360" w:lineRule="auto"/>
        <w:ind w:firstLine="643" w:firstLineChars="200"/>
        <w:contextualSpacing/>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分项报价明细表（服务类）</w:t>
      </w:r>
    </w:p>
    <w:tbl>
      <w:tblPr>
        <w:tblStyle w:val="5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408C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1D017C5E">
            <w:pPr>
              <w:snapToGrid w:val="0"/>
              <w:spacing w:line="360" w:lineRule="auto"/>
              <w:jc w:val="center"/>
              <w:rPr>
                <w:rFonts w:hint="eastAsia" w:ascii="宋体" w:hAnsi="宋体"/>
                <w:b/>
                <w:color w:val="000000"/>
                <w:szCs w:val="21"/>
              </w:rPr>
            </w:pPr>
            <w:r>
              <w:rPr>
                <w:rFonts w:hint="eastAsia" w:ascii="宋体" w:hAnsi="宋体"/>
                <w:b/>
                <w:color w:val="000000"/>
                <w:szCs w:val="21"/>
              </w:rPr>
              <w:t>序号</w:t>
            </w:r>
          </w:p>
        </w:tc>
        <w:tc>
          <w:tcPr>
            <w:tcW w:w="1321" w:type="dxa"/>
            <w:vAlign w:val="center"/>
          </w:tcPr>
          <w:p w14:paraId="59C43794">
            <w:pPr>
              <w:snapToGrid w:val="0"/>
              <w:spacing w:line="360" w:lineRule="auto"/>
              <w:jc w:val="center"/>
              <w:rPr>
                <w:rFonts w:hint="eastAsia" w:ascii="宋体" w:hAnsi="宋体"/>
                <w:b/>
                <w:color w:val="000000"/>
                <w:szCs w:val="21"/>
              </w:rPr>
            </w:pPr>
            <w:r>
              <w:rPr>
                <w:rFonts w:hint="eastAsia" w:ascii="宋体" w:hAnsi="宋体"/>
                <w:b/>
                <w:color w:val="000000"/>
                <w:szCs w:val="21"/>
              </w:rPr>
              <w:t>名称</w:t>
            </w:r>
          </w:p>
        </w:tc>
        <w:tc>
          <w:tcPr>
            <w:tcW w:w="1417" w:type="dxa"/>
            <w:vAlign w:val="center"/>
          </w:tcPr>
          <w:p w14:paraId="2A61A83D">
            <w:pPr>
              <w:snapToGrid w:val="0"/>
              <w:spacing w:line="360" w:lineRule="auto"/>
              <w:jc w:val="center"/>
              <w:rPr>
                <w:rFonts w:hint="eastAsia" w:ascii="宋体" w:hAnsi="宋体"/>
                <w:b/>
                <w:color w:val="000000"/>
                <w:szCs w:val="21"/>
              </w:rPr>
            </w:pPr>
            <w:r>
              <w:rPr>
                <w:rFonts w:hint="eastAsia" w:ascii="宋体" w:hAnsi="宋体"/>
                <w:b/>
                <w:color w:val="000000"/>
                <w:szCs w:val="21"/>
              </w:rPr>
              <w:t>服务范围</w:t>
            </w:r>
          </w:p>
        </w:tc>
        <w:tc>
          <w:tcPr>
            <w:tcW w:w="1418" w:type="dxa"/>
            <w:vAlign w:val="center"/>
          </w:tcPr>
          <w:p w14:paraId="636E5E2D">
            <w:pPr>
              <w:snapToGrid w:val="0"/>
              <w:spacing w:line="360" w:lineRule="auto"/>
              <w:jc w:val="center"/>
              <w:rPr>
                <w:rFonts w:hint="eastAsia" w:ascii="宋体" w:hAnsi="宋体"/>
                <w:b/>
                <w:color w:val="000000"/>
                <w:szCs w:val="21"/>
              </w:rPr>
            </w:pPr>
            <w:r>
              <w:rPr>
                <w:rFonts w:hint="eastAsia" w:ascii="宋体" w:hAnsi="宋体"/>
                <w:b/>
                <w:color w:val="000000"/>
                <w:szCs w:val="21"/>
              </w:rPr>
              <w:t>服务要求</w:t>
            </w:r>
          </w:p>
        </w:tc>
        <w:tc>
          <w:tcPr>
            <w:tcW w:w="1275" w:type="dxa"/>
            <w:vAlign w:val="center"/>
          </w:tcPr>
          <w:p w14:paraId="3BFE71AA">
            <w:pPr>
              <w:snapToGrid w:val="0"/>
              <w:spacing w:line="360" w:lineRule="auto"/>
              <w:jc w:val="center"/>
              <w:rPr>
                <w:rFonts w:hint="eastAsia" w:ascii="宋体" w:hAnsi="宋体"/>
                <w:b/>
                <w:color w:val="000000"/>
                <w:szCs w:val="21"/>
              </w:rPr>
            </w:pPr>
            <w:r>
              <w:rPr>
                <w:rFonts w:hint="eastAsia" w:ascii="宋体" w:hAnsi="宋体"/>
                <w:b/>
                <w:color w:val="000000"/>
                <w:szCs w:val="21"/>
              </w:rPr>
              <w:t>服务时间</w:t>
            </w:r>
          </w:p>
        </w:tc>
        <w:tc>
          <w:tcPr>
            <w:tcW w:w="1276" w:type="dxa"/>
            <w:vAlign w:val="center"/>
          </w:tcPr>
          <w:p w14:paraId="141E4449">
            <w:pPr>
              <w:snapToGrid w:val="0"/>
              <w:spacing w:line="360" w:lineRule="auto"/>
              <w:jc w:val="center"/>
              <w:rPr>
                <w:rFonts w:hint="eastAsia" w:ascii="宋体" w:hAnsi="宋体"/>
                <w:b/>
                <w:color w:val="000000"/>
                <w:szCs w:val="21"/>
              </w:rPr>
            </w:pPr>
            <w:r>
              <w:rPr>
                <w:rFonts w:hint="eastAsia" w:ascii="宋体" w:hAnsi="宋体"/>
                <w:b/>
                <w:color w:val="000000"/>
                <w:szCs w:val="21"/>
              </w:rPr>
              <w:t>服务标准</w:t>
            </w:r>
          </w:p>
        </w:tc>
        <w:tc>
          <w:tcPr>
            <w:tcW w:w="851" w:type="dxa"/>
            <w:vAlign w:val="center"/>
          </w:tcPr>
          <w:p w14:paraId="428542AD">
            <w:pPr>
              <w:snapToGrid w:val="0"/>
              <w:spacing w:line="360" w:lineRule="auto"/>
              <w:jc w:val="center"/>
              <w:rPr>
                <w:rFonts w:hint="eastAsia" w:ascii="宋体" w:hAnsi="宋体"/>
                <w:b/>
                <w:color w:val="000000"/>
                <w:szCs w:val="21"/>
              </w:rPr>
            </w:pPr>
            <w:r>
              <w:rPr>
                <w:rFonts w:hint="eastAsia" w:ascii="宋体" w:hAnsi="宋体"/>
                <w:b/>
                <w:color w:val="000000"/>
                <w:szCs w:val="21"/>
              </w:rPr>
              <w:t>金额</w:t>
            </w:r>
          </w:p>
        </w:tc>
        <w:tc>
          <w:tcPr>
            <w:tcW w:w="1151" w:type="dxa"/>
            <w:vAlign w:val="center"/>
          </w:tcPr>
          <w:p w14:paraId="6BC23F7B">
            <w:pPr>
              <w:snapToGrid w:val="0"/>
              <w:spacing w:line="360" w:lineRule="auto"/>
              <w:ind w:firstLine="105" w:firstLineChars="50"/>
              <w:jc w:val="center"/>
              <w:rPr>
                <w:rFonts w:hint="eastAsia" w:ascii="宋体" w:hAnsi="宋体"/>
                <w:b/>
                <w:color w:val="000000"/>
                <w:szCs w:val="21"/>
              </w:rPr>
            </w:pPr>
            <w:r>
              <w:rPr>
                <w:rFonts w:hint="eastAsia" w:ascii="宋体" w:hAnsi="宋体"/>
                <w:b/>
                <w:color w:val="000000"/>
                <w:szCs w:val="21"/>
              </w:rPr>
              <w:t>备注</w:t>
            </w:r>
          </w:p>
        </w:tc>
      </w:tr>
      <w:tr w14:paraId="6D3B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496A4918">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1</w:t>
            </w:r>
          </w:p>
        </w:tc>
        <w:tc>
          <w:tcPr>
            <w:tcW w:w="1321" w:type="dxa"/>
            <w:vAlign w:val="center"/>
          </w:tcPr>
          <w:p w14:paraId="4299111A">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23A27073">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3C5BC08B">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0C788060">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51F7C1B8">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2313F9E2">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379A02A9">
            <w:pPr>
              <w:snapToGrid w:val="0"/>
              <w:spacing w:line="360" w:lineRule="auto"/>
              <w:jc w:val="center"/>
              <w:rPr>
                <w:rFonts w:hint="eastAsia" w:ascii="仿宋_GB2312" w:hAnsi="宋体" w:eastAsia="仿宋_GB2312"/>
                <w:color w:val="000000"/>
                <w:sz w:val="24"/>
                <w:szCs w:val="24"/>
              </w:rPr>
            </w:pPr>
          </w:p>
        </w:tc>
      </w:tr>
      <w:tr w14:paraId="3746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5AD48B2E">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2</w:t>
            </w:r>
          </w:p>
        </w:tc>
        <w:tc>
          <w:tcPr>
            <w:tcW w:w="1321" w:type="dxa"/>
            <w:vAlign w:val="center"/>
          </w:tcPr>
          <w:p w14:paraId="635B3FEC">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358119FF">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34D73EF2">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51BFC6DD">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2A46D892">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3404ABCD">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3CDBAE18">
            <w:pPr>
              <w:snapToGrid w:val="0"/>
              <w:spacing w:line="360" w:lineRule="auto"/>
              <w:jc w:val="center"/>
              <w:rPr>
                <w:rFonts w:hint="eastAsia" w:ascii="仿宋_GB2312" w:hAnsi="宋体" w:eastAsia="仿宋_GB2312"/>
                <w:color w:val="000000"/>
                <w:sz w:val="24"/>
                <w:szCs w:val="24"/>
              </w:rPr>
            </w:pPr>
          </w:p>
        </w:tc>
      </w:tr>
      <w:tr w14:paraId="5890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30216A00">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3</w:t>
            </w:r>
          </w:p>
        </w:tc>
        <w:tc>
          <w:tcPr>
            <w:tcW w:w="1321" w:type="dxa"/>
            <w:vAlign w:val="center"/>
          </w:tcPr>
          <w:p w14:paraId="2840B5F2">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33432080">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11E63A95">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2714C9EE">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4FEADA4C">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152EF7C4">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1BF17F88">
            <w:pPr>
              <w:snapToGrid w:val="0"/>
              <w:spacing w:line="360" w:lineRule="auto"/>
              <w:jc w:val="center"/>
              <w:rPr>
                <w:rFonts w:hint="eastAsia" w:ascii="仿宋_GB2312" w:hAnsi="宋体" w:eastAsia="仿宋_GB2312"/>
                <w:color w:val="000000"/>
                <w:sz w:val="24"/>
                <w:szCs w:val="24"/>
              </w:rPr>
            </w:pPr>
          </w:p>
        </w:tc>
      </w:tr>
      <w:tr w14:paraId="2525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1C186B03">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4</w:t>
            </w:r>
          </w:p>
        </w:tc>
        <w:tc>
          <w:tcPr>
            <w:tcW w:w="1321" w:type="dxa"/>
            <w:vAlign w:val="center"/>
          </w:tcPr>
          <w:p w14:paraId="41C53B82">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14F1D2C7">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0F577C92">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472CD5D6">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37F0D391">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58869076">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75AD2B71">
            <w:pPr>
              <w:snapToGrid w:val="0"/>
              <w:spacing w:line="360" w:lineRule="auto"/>
              <w:jc w:val="center"/>
              <w:rPr>
                <w:rFonts w:hint="eastAsia" w:ascii="仿宋_GB2312" w:hAnsi="宋体" w:eastAsia="仿宋_GB2312"/>
                <w:color w:val="000000"/>
                <w:sz w:val="24"/>
                <w:szCs w:val="24"/>
              </w:rPr>
            </w:pPr>
          </w:p>
        </w:tc>
      </w:tr>
      <w:tr w14:paraId="4F0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77C91222">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w:t>
            </w:r>
          </w:p>
        </w:tc>
        <w:tc>
          <w:tcPr>
            <w:tcW w:w="1321" w:type="dxa"/>
            <w:vAlign w:val="center"/>
          </w:tcPr>
          <w:p w14:paraId="3EA6F9C5">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24EB80C8">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574875AA">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44E18295">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0BC3424B">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455FED58">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73009A8F">
            <w:pPr>
              <w:snapToGrid w:val="0"/>
              <w:spacing w:line="360" w:lineRule="auto"/>
              <w:jc w:val="center"/>
              <w:rPr>
                <w:rFonts w:hint="eastAsia" w:ascii="仿宋_GB2312" w:hAnsi="宋体" w:eastAsia="仿宋_GB2312"/>
                <w:color w:val="000000"/>
                <w:sz w:val="24"/>
                <w:szCs w:val="24"/>
              </w:rPr>
            </w:pPr>
          </w:p>
        </w:tc>
      </w:tr>
      <w:tr w14:paraId="09E3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42DD5D5C">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合计</w:t>
            </w:r>
          </w:p>
        </w:tc>
        <w:tc>
          <w:tcPr>
            <w:tcW w:w="8709" w:type="dxa"/>
            <w:gridSpan w:val="7"/>
            <w:vAlign w:val="center"/>
          </w:tcPr>
          <w:p w14:paraId="746D7B0E">
            <w:pPr>
              <w:snapToGrid w:val="0"/>
              <w:spacing w:line="360" w:lineRule="auto"/>
              <w:jc w:val="center"/>
              <w:rPr>
                <w:rFonts w:hint="eastAsia" w:ascii="仿宋_GB2312" w:hAnsi="宋体" w:eastAsia="仿宋_GB2312"/>
                <w:color w:val="000000"/>
                <w:sz w:val="24"/>
                <w:szCs w:val="24"/>
              </w:rPr>
            </w:pPr>
          </w:p>
        </w:tc>
      </w:tr>
    </w:tbl>
    <w:p w14:paraId="71108D70">
      <w:pPr>
        <w:rPr>
          <w:rFonts w:hint="eastAsia" w:ascii="宋体" w:hAnsi="宋体" w:cs="宋体"/>
          <w:b/>
          <w:sz w:val="28"/>
          <w:szCs w:val="28"/>
          <w:lang w:val="zh-CN"/>
        </w:rPr>
      </w:pPr>
    </w:p>
    <w:p w14:paraId="2D51607C">
      <w:pPr>
        <w:snapToGrid w:val="0"/>
        <w:spacing w:line="360" w:lineRule="auto"/>
        <w:textAlignment w:val="baseline"/>
        <w:rPr>
          <w:rFonts w:hint="eastAsia" w:ascii="Times New Roman" w:hAnsi="宋体" w:cs="宋体"/>
          <w:b/>
          <w:color w:val="000000" w:themeColor="text1"/>
          <w:kern w:val="2"/>
          <w:sz w:val="24"/>
          <w:szCs w:val="28"/>
          <w:lang w:val="zh-CN"/>
          <w14:textFill>
            <w14:solidFill>
              <w14:schemeClr w14:val="tx1"/>
            </w14:solidFill>
          </w14:textFill>
        </w:rPr>
      </w:pPr>
      <w:r>
        <w:rPr>
          <w:rFonts w:hint="eastAsia" w:ascii="Times New Roman" w:hAnsi="宋体" w:cs="宋体"/>
          <w:b/>
          <w:color w:val="000000" w:themeColor="text1"/>
          <w:kern w:val="2"/>
          <w:sz w:val="24"/>
          <w:szCs w:val="28"/>
          <w:lang w:val="zh-CN"/>
          <w14:textFill>
            <w14:solidFill>
              <w14:schemeClr w14:val="tx1"/>
            </w14:solidFill>
          </w14:textFill>
        </w:rPr>
        <w:t>注：1.本表各分项报价合计应当与报价总表</w:t>
      </w:r>
      <w:r>
        <w:rPr>
          <w:rFonts w:hint="eastAsia" w:ascii="Times New Roman" w:hAnsi="宋体" w:cs="宋体"/>
          <w:b/>
          <w:color w:val="000000" w:themeColor="text1"/>
          <w:kern w:val="2"/>
          <w:sz w:val="24"/>
          <w:szCs w:val="28"/>
          <w14:textFill>
            <w14:solidFill>
              <w14:schemeClr w14:val="tx1"/>
            </w14:solidFill>
          </w14:textFill>
        </w:rPr>
        <w:t>中第1轮</w:t>
      </w:r>
      <w:r>
        <w:rPr>
          <w:rFonts w:hint="eastAsia" w:ascii="Times New Roman" w:hAnsi="宋体" w:cs="宋体"/>
          <w:b/>
          <w:color w:val="000000" w:themeColor="text1"/>
          <w:kern w:val="2"/>
          <w:sz w:val="24"/>
          <w:szCs w:val="28"/>
          <w:lang w:val="zh-CN"/>
          <w14:textFill>
            <w14:solidFill>
              <w14:schemeClr w14:val="tx1"/>
            </w14:solidFill>
          </w14:textFill>
        </w:rPr>
        <w:t>报价</w:t>
      </w:r>
      <w:r>
        <w:rPr>
          <w:rFonts w:hint="eastAsia" w:ascii="Times New Roman" w:hAnsi="宋体" w:cs="宋体"/>
          <w:b/>
          <w:color w:val="000000" w:themeColor="text1"/>
          <w:kern w:val="2"/>
          <w:sz w:val="24"/>
          <w:szCs w:val="28"/>
          <w14:textFill>
            <w14:solidFill>
              <w14:schemeClr w14:val="tx1"/>
            </w14:solidFill>
          </w14:textFill>
        </w:rPr>
        <w:t>金额</w:t>
      </w:r>
      <w:r>
        <w:rPr>
          <w:rFonts w:hint="eastAsia" w:ascii="Times New Roman" w:hAnsi="宋体" w:cs="宋体"/>
          <w:b/>
          <w:color w:val="000000" w:themeColor="text1"/>
          <w:kern w:val="2"/>
          <w:sz w:val="24"/>
          <w:szCs w:val="28"/>
          <w:lang w:val="zh-CN"/>
          <w14:textFill>
            <w14:solidFill>
              <w14:schemeClr w14:val="tx1"/>
            </w14:solidFill>
          </w14:textFill>
        </w:rPr>
        <w:t>相等。</w:t>
      </w:r>
    </w:p>
    <w:p w14:paraId="65EAE695">
      <w:pPr>
        <w:widowControl/>
        <w:spacing w:before="100" w:beforeAutospacing="1" w:after="100" w:afterAutospacing="1" w:line="500" w:lineRule="atLeast"/>
        <w:rPr>
          <w:rFonts w:hint="eastAsia" w:ascii="宋体" w:hAnsi="宋体" w:cs="宋体"/>
          <w:color w:val="000000" w:themeColor="text1"/>
          <w:kern w:val="2"/>
          <w:sz w:val="24"/>
          <w:szCs w:val="28"/>
          <w:lang w:val="zh-CN"/>
          <w14:textFill>
            <w14:solidFill>
              <w14:schemeClr w14:val="tx1"/>
            </w14:solidFill>
          </w14:textFill>
        </w:rPr>
      </w:pPr>
    </w:p>
    <w:p w14:paraId="467AAC89">
      <w:pPr>
        <w:snapToGrid w:val="0"/>
        <w:spacing w:line="360" w:lineRule="auto"/>
        <w:ind w:right="79"/>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竞争性磋商响应供应商：（单位盖章）</w:t>
      </w:r>
    </w:p>
    <w:p w14:paraId="648DB1E6">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28BEA7E5">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lang w:val="zh-CN"/>
          <w14:textFill>
            <w14:solidFill>
              <w14:schemeClr w14:val="tx1"/>
            </w14:solidFill>
          </w14:textFill>
        </w:rPr>
      </w:pPr>
      <w:r>
        <w:rPr>
          <w:rFonts w:hint="eastAsia" w:ascii="宋体" w:hAnsi="宋体" w:cs="宋体"/>
          <w:color w:val="000000" w:themeColor="text1"/>
          <w:kern w:val="2"/>
          <w:sz w:val="24"/>
          <w:szCs w:val="28"/>
          <w:lang w:val="zh-CN"/>
          <w14:textFill>
            <w14:solidFill>
              <w14:schemeClr w14:val="tx1"/>
            </w14:solidFill>
          </w14:textFill>
        </w:rPr>
        <w:t>日期：年</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月</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日</w:t>
      </w:r>
    </w:p>
    <w:p w14:paraId="27EF066B">
      <w:pPr>
        <w:spacing w:line="400" w:lineRule="exact"/>
        <w:rPr>
          <w:rFonts w:hint="eastAsia" w:ascii="Times New Roman" w:hAnsi="宋体" w:cs="宋体"/>
          <w:b/>
          <w:color w:val="000000" w:themeColor="text1"/>
          <w:kern w:val="2"/>
          <w:sz w:val="24"/>
          <w:szCs w:val="28"/>
          <w14:textFill>
            <w14:solidFill>
              <w14:schemeClr w14:val="tx1"/>
            </w14:solidFill>
          </w14:textFill>
        </w:rPr>
      </w:pPr>
    </w:p>
    <w:p w14:paraId="52F7B5BA">
      <w:pPr>
        <w:spacing w:line="400" w:lineRule="exact"/>
        <w:rPr>
          <w:rFonts w:hint="eastAsia" w:ascii="Times New Roman" w:hAnsi="宋体" w:cs="宋体"/>
          <w:b/>
          <w:color w:val="000000" w:themeColor="text1"/>
          <w:kern w:val="2"/>
          <w:sz w:val="24"/>
          <w:szCs w:val="28"/>
          <w14:textFill>
            <w14:solidFill>
              <w14:schemeClr w14:val="tx1"/>
            </w14:solidFill>
          </w14:textFill>
        </w:rPr>
      </w:pPr>
    </w:p>
    <w:p w14:paraId="1B961906">
      <w:pPr>
        <w:spacing w:line="400" w:lineRule="exact"/>
        <w:rPr>
          <w:rFonts w:hint="eastAsia" w:ascii="Times New Roman" w:hAnsi="宋体" w:cs="宋体"/>
          <w:b/>
          <w:color w:val="000000" w:themeColor="text1"/>
          <w:kern w:val="2"/>
          <w:sz w:val="24"/>
          <w:szCs w:val="28"/>
          <w14:textFill>
            <w14:solidFill>
              <w14:schemeClr w14:val="tx1"/>
            </w14:solidFill>
          </w14:textFill>
        </w:rPr>
      </w:pPr>
    </w:p>
    <w:sectPr>
      <w:pgSz w:w="11906" w:h="16838"/>
      <w:pgMar w:top="1440" w:right="1133" w:bottom="1440" w:left="108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0000000000000000000"/>
    <w:charset w:val="00"/>
    <w:family w:val="auto"/>
    <w:pitch w:val="default"/>
    <w:sig w:usb0="00000000" w:usb1="00000000" w:usb2="00000000" w:usb3="00000000" w:csb0="00000000" w:csb1="0000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5EFD">
    <w:pPr>
      <w:pStyle w:val="35"/>
      <w:jc w:val="center"/>
    </w:pPr>
    <w:r>
      <w:fldChar w:fldCharType="begin"/>
    </w:r>
    <w:r>
      <w:instrText xml:space="preserve"> PAGE   \* MERGEFORMAT </w:instrText>
    </w:r>
    <w:r>
      <w:fldChar w:fldCharType="separate"/>
    </w:r>
    <w:r>
      <w:rPr>
        <w:lang w:val="zh-CN"/>
      </w:rPr>
      <w:t>54</w:t>
    </w:r>
    <w:r>
      <w:rPr>
        <w:lang w:val="zh-CN"/>
      </w:rPr>
      <w:fldChar w:fldCharType="end"/>
    </w:r>
  </w:p>
  <w:p w14:paraId="1576E22F">
    <w:pPr>
      <w:pStyle w:val="35"/>
    </w:pPr>
  </w:p>
  <w:p w14:paraId="7C8FA6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06C2D">
    <w:pPr>
      <w:pStyle w:val="35"/>
      <w:jc w:val="center"/>
    </w:pPr>
    <w:r>
      <w:fldChar w:fldCharType="begin"/>
    </w:r>
    <w:r>
      <w:instrText xml:space="preserve"> PAGE   \* MERGEFORMAT </w:instrText>
    </w:r>
    <w:r>
      <w:fldChar w:fldCharType="separate"/>
    </w:r>
    <w:r>
      <w:rPr>
        <w:lang w:val="zh-CN"/>
      </w:rPr>
      <w:t>1</w:t>
    </w:r>
    <w:r>
      <w:rPr>
        <w:lang w:val="zh-CN"/>
      </w:rPr>
      <w:fldChar w:fldCharType="end"/>
    </w:r>
  </w:p>
  <w:p w14:paraId="2042F635">
    <w:pPr>
      <w:pStyle w:val="35"/>
    </w:pPr>
  </w:p>
  <w:p w14:paraId="47406D4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00C7">
    <w:pPr>
      <w:tabs>
        <w:tab w:val="left" w:pos="6300"/>
      </w:tabs>
      <w:spacing w:line="300" w:lineRule="auto"/>
    </w:pPr>
  </w:p>
  <w:p w14:paraId="1721EF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0DAB">
    <w:pPr>
      <w:tabs>
        <w:tab w:val="left" w:pos="6300"/>
      </w:tabs>
      <w:spacing w:line="300" w:lineRule="auto"/>
    </w:pPr>
  </w:p>
  <w:p w14:paraId="78A3AB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386A69F9"/>
    <w:multiLevelType w:val="multilevel"/>
    <w:tmpl w:val="386A69F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yODFlNjc0MThhMWJkMGUxNzNjZTIyZDk2ZTNjYmYifQ=="/>
  </w:docVars>
  <w:rsids>
    <w:rsidRoot w:val="00D63923"/>
    <w:rsid w:val="00001F75"/>
    <w:rsid w:val="00014846"/>
    <w:rsid w:val="00031BCB"/>
    <w:rsid w:val="000339EA"/>
    <w:rsid w:val="0004084A"/>
    <w:rsid w:val="000472A1"/>
    <w:rsid w:val="00047ACF"/>
    <w:rsid w:val="00054B2A"/>
    <w:rsid w:val="00060DD9"/>
    <w:rsid w:val="00063D5D"/>
    <w:rsid w:val="00066D61"/>
    <w:rsid w:val="0007412E"/>
    <w:rsid w:val="000748BE"/>
    <w:rsid w:val="000821B4"/>
    <w:rsid w:val="000860AB"/>
    <w:rsid w:val="000901DF"/>
    <w:rsid w:val="000903C5"/>
    <w:rsid w:val="00090FE2"/>
    <w:rsid w:val="000930DF"/>
    <w:rsid w:val="000A3037"/>
    <w:rsid w:val="000A6460"/>
    <w:rsid w:val="000B5FC2"/>
    <w:rsid w:val="000C12A8"/>
    <w:rsid w:val="000D40F8"/>
    <w:rsid w:val="000D4B93"/>
    <w:rsid w:val="000E5D75"/>
    <w:rsid w:val="000E689A"/>
    <w:rsid w:val="001019DF"/>
    <w:rsid w:val="00106492"/>
    <w:rsid w:val="00111053"/>
    <w:rsid w:val="00123CC1"/>
    <w:rsid w:val="0012744D"/>
    <w:rsid w:val="00131FFD"/>
    <w:rsid w:val="00132267"/>
    <w:rsid w:val="001333F0"/>
    <w:rsid w:val="00144942"/>
    <w:rsid w:val="00154D66"/>
    <w:rsid w:val="00160594"/>
    <w:rsid w:val="00160AF5"/>
    <w:rsid w:val="001672C9"/>
    <w:rsid w:val="0017499E"/>
    <w:rsid w:val="00177751"/>
    <w:rsid w:val="001925ED"/>
    <w:rsid w:val="00194AFE"/>
    <w:rsid w:val="001A0223"/>
    <w:rsid w:val="001A3F36"/>
    <w:rsid w:val="001B3EEE"/>
    <w:rsid w:val="001B5A4B"/>
    <w:rsid w:val="001C4538"/>
    <w:rsid w:val="001C5873"/>
    <w:rsid w:val="001D0B8F"/>
    <w:rsid w:val="001D1BC5"/>
    <w:rsid w:val="001D5236"/>
    <w:rsid w:val="00201034"/>
    <w:rsid w:val="00202F6E"/>
    <w:rsid w:val="00211C6A"/>
    <w:rsid w:val="00215B3E"/>
    <w:rsid w:val="00235D91"/>
    <w:rsid w:val="00251BB7"/>
    <w:rsid w:val="00255401"/>
    <w:rsid w:val="002760AD"/>
    <w:rsid w:val="00280362"/>
    <w:rsid w:val="00282FA6"/>
    <w:rsid w:val="002A1C76"/>
    <w:rsid w:val="002A1DB1"/>
    <w:rsid w:val="002B1006"/>
    <w:rsid w:val="002B275A"/>
    <w:rsid w:val="002B55A5"/>
    <w:rsid w:val="002C2823"/>
    <w:rsid w:val="002E714C"/>
    <w:rsid w:val="002F4F0B"/>
    <w:rsid w:val="00303B54"/>
    <w:rsid w:val="00305B8A"/>
    <w:rsid w:val="003110FF"/>
    <w:rsid w:val="003117D7"/>
    <w:rsid w:val="0031321A"/>
    <w:rsid w:val="003141B4"/>
    <w:rsid w:val="00317AE8"/>
    <w:rsid w:val="0032296D"/>
    <w:rsid w:val="00323DD4"/>
    <w:rsid w:val="00330669"/>
    <w:rsid w:val="00350005"/>
    <w:rsid w:val="00350B56"/>
    <w:rsid w:val="003609F8"/>
    <w:rsid w:val="003620D8"/>
    <w:rsid w:val="003663F0"/>
    <w:rsid w:val="0037477E"/>
    <w:rsid w:val="003765B1"/>
    <w:rsid w:val="00382512"/>
    <w:rsid w:val="00396B2C"/>
    <w:rsid w:val="003A5F08"/>
    <w:rsid w:val="003C3BFE"/>
    <w:rsid w:val="003D2E9A"/>
    <w:rsid w:val="003E2C01"/>
    <w:rsid w:val="003E50A1"/>
    <w:rsid w:val="003E7D54"/>
    <w:rsid w:val="003F4EED"/>
    <w:rsid w:val="003F622D"/>
    <w:rsid w:val="003F628D"/>
    <w:rsid w:val="003F6CF3"/>
    <w:rsid w:val="004000D4"/>
    <w:rsid w:val="00403E75"/>
    <w:rsid w:val="004138A1"/>
    <w:rsid w:val="00414888"/>
    <w:rsid w:val="00416971"/>
    <w:rsid w:val="004245BF"/>
    <w:rsid w:val="00435AAB"/>
    <w:rsid w:val="00456B24"/>
    <w:rsid w:val="00460668"/>
    <w:rsid w:val="004714B5"/>
    <w:rsid w:val="00477A47"/>
    <w:rsid w:val="00481374"/>
    <w:rsid w:val="0048627A"/>
    <w:rsid w:val="00493DEC"/>
    <w:rsid w:val="004A67FF"/>
    <w:rsid w:val="004B1B70"/>
    <w:rsid w:val="004B426E"/>
    <w:rsid w:val="004B5F7B"/>
    <w:rsid w:val="004C0DB6"/>
    <w:rsid w:val="004C0F3B"/>
    <w:rsid w:val="004D24EE"/>
    <w:rsid w:val="004D7659"/>
    <w:rsid w:val="004E1BD5"/>
    <w:rsid w:val="004E2DE9"/>
    <w:rsid w:val="004E67CA"/>
    <w:rsid w:val="004F7AFF"/>
    <w:rsid w:val="00503456"/>
    <w:rsid w:val="005119F8"/>
    <w:rsid w:val="00516BEB"/>
    <w:rsid w:val="00517225"/>
    <w:rsid w:val="00523680"/>
    <w:rsid w:val="005254B7"/>
    <w:rsid w:val="00526790"/>
    <w:rsid w:val="00526AE8"/>
    <w:rsid w:val="00537BAD"/>
    <w:rsid w:val="00546BD5"/>
    <w:rsid w:val="00553D50"/>
    <w:rsid w:val="005574D6"/>
    <w:rsid w:val="005615D4"/>
    <w:rsid w:val="00561793"/>
    <w:rsid w:val="005A41B8"/>
    <w:rsid w:val="005B122D"/>
    <w:rsid w:val="005B1D32"/>
    <w:rsid w:val="005B2FAB"/>
    <w:rsid w:val="005B4957"/>
    <w:rsid w:val="005B5193"/>
    <w:rsid w:val="005C3DAD"/>
    <w:rsid w:val="005D05C6"/>
    <w:rsid w:val="005D3D44"/>
    <w:rsid w:val="005D48CA"/>
    <w:rsid w:val="005D5A36"/>
    <w:rsid w:val="005D5A93"/>
    <w:rsid w:val="005D6D07"/>
    <w:rsid w:val="005F0AF2"/>
    <w:rsid w:val="0060016E"/>
    <w:rsid w:val="00600DEC"/>
    <w:rsid w:val="006014DD"/>
    <w:rsid w:val="006152D4"/>
    <w:rsid w:val="00615A4B"/>
    <w:rsid w:val="00617368"/>
    <w:rsid w:val="00621267"/>
    <w:rsid w:val="0062243D"/>
    <w:rsid w:val="006341DD"/>
    <w:rsid w:val="00635EA2"/>
    <w:rsid w:val="00636DAA"/>
    <w:rsid w:val="0064598B"/>
    <w:rsid w:val="0065226F"/>
    <w:rsid w:val="006544C3"/>
    <w:rsid w:val="00654F70"/>
    <w:rsid w:val="00674128"/>
    <w:rsid w:val="0068121C"/>
    <w:rsid w:val="00685A3A"/>
    <w:rsid w:val="00685C78"/>
    <w:rsid w:val="006A6D6C"/>
    <w:rsid w:val="006B4C08"/>
    <w:rsid w:val="006D6719"/>
    <w:rsid w:val="006E2594"/>
    <w:rsid w:val="006E291C"/>
    <w:rsid w:val="006E2A10"/>
    <w:rsid w:val="00703EEE"/>
    <w:rsid w:val="00713145"/>
    <w:rsid w:val="00721FB7"/>
    <w:rsid w:val="007301BE"/>
    <w:rsid w:val="007302B7"/>
    <w:rsid w:val="00731C45"/>
    <w:rsid w:val="00734F2F"/>
    <w:rsid w:val="00735B71"/>
    <w:rsid w:val="007426C7"/>
    <w:rsid w:val="007447D7"/>
    <w:rsid w:val="00770B98"/>
    <w:rsid w:val="00774A0B"/>
    <w:rsid w:val="00782A03"/>
    <w:rsid w:val="007842A8"/>
    <w:rsid w:val="00790EDA"/>
    <w:rsid w:val="0079238D"/>
    <w:rsid w:val="007936DD"/>
    <w:rsid w:val="00797C85"/>
    <w:rsid w:val="007A6534"/>
    <w:rsid w:val="007B3BF4"/>
    <w:rsid w:val="007D3741"/>
    <w:rsid w:val="007E5DCC"/>
    <w:rsid w:val="0080458B"/>
    <w:rsid w:val="00804CC2"/>
    <w:rsid w:val="00806B0E"/>
    <w:rsid w:val="00813BD4"/>
    <w:rsid w:val="00813C08"/>
    <w:rsid w:val="00815AA5"/>
    <w:rsid w:val="00821FEA"/>
    <w:rsid w:val="008224FF"/>
    <w:rsid w:val="00823083"/>
    <w:rsid w:val="00831738"/>
    <w:rsid w:val="00832492"/>
    <w:rsid w:val="00834FF1"/>
    <w:rsid w:val="008467FF"/>
    <w:rsid w:val="00846C35"/>
    <w:rsid w:val="0084788C"/>
    <w:rsid w:val="00852307"/>
    <w:rsid w:val="008536CF"/>
    <w:rsid w:val="00882AE6"/>
    <w:rsid w:val="008928C4"/>
    <w:rsid w:val="0089578F"/>
    <w:rsid w:val="008958A5"/>
    <w:rsid w:val="008B0592"/>
    <w:rsid w:val="008B26F0"/>
    <w:rsid w:val="008C4AD2"/>
    <w:rsid w:val="008E2A06"/>
    <w:rsid w:val="009072C0"/>
    <w:rsid w:val="0092014A"/>
    <w:rsid w:val="00930464"/>
    <w:rsid w:val="009419BC"/>
    <w:rsid w:val="00946B6D"/>
    <w:rsid w:val="00953EEF"/>
    <w:rsid w:val="00960207"/>
    <w:rsid w:val="0096695A"/>
    <w:rsid w:val="009709E5"/>
    <w:rsid w:val="00983838"/>
    <w:rsid w:val="00991BA9"/>
    <w:rsid w:val="0099493F"/>
    <w:rsid w:val="0099677F"/>
    <w:rsid w:val="009969B9"/>
    <w:rsid w:val="009D0849"/>
    <w:rsid w:val="009D1C3B"/>
    <w:rsid w:val="009D24FA"/>
    <w:rsid w:val="009D37D8"/>
    <w:rsid w:val="009E16D1"/>
    <w:rsid w:val="009E26A9"/>
    <w:rsid w:val="009E3180"/>
    <w:rsid w:val="009E65EB"/>
    <w:rsid w:val="009E6810"/>
    <w:rsid w:val="009F79D7"/>
    <w:rsid w:val="00A07354"/>
    <w:rsid w:val="00A10A07"/>
    <w:rsid w:val="00A10ACC"/>
    <w:rsid w:val="00A12646"/>
    <w:rsid w:val="00A12880"/>
    <w:rsid w:val="00A158D1"/>
    <w:rsid w:val="00A16EF9"/>
    <w:rsid w:val="00A23D43"/>
    <w:rsid w:val="00A254B4"/>
    <w:rsid w:val="00A316B0"/>
    <w:rsid w:val="00A34910"/>
    <w:rsid w:val="00A35177"/>
    <w:rsid w:val="00A4537A"/>
    <w:rsid w:val="00A4675D"/>
    <w:rsid w:val="00A46EE9"/>
    <w:rsid w:val="00A47DCD"/>
    <w:rsid w:val="00A51117"/>
    <w:rsid w:val="00A52BCD"/>
    <w:rsid w:val="00A64390"/>
    <w:rsid w:val="00A72A23"/>
    <w:rsid w:val="00A84E47"/>
    <w:rsid w:val="00A85098"/>
    <w:rsid w:val="00A942E1"/>
    <w:rsid w:val="00AC75E2"/>
    <w:rsid w:val="00AD0A0B"/>
    <w:rsid w:val="00AE6635"/>
    <w:rsid w:val="00AF3CE9"/>
    <w:rsid w:val="00B16588"/>
    <w:rsid w:val="00B1795A"/>
    <w:rsid w:val="00B20A16"/>
    <w:rsid w:val="00B21741"/>
    <w:rsid w:val="00B36F22"/>
    <w:rsid w:val="00B37C88"/>
    <w:rsid w:val="00B41DD8"/>
    <w:rsid w:val="00B5026F"/>
    <w:rsid w:val="00B679A9"/>
    <w:rsid w:val="00B67C25"/>
    <w:rsid w:val="00B70186"/>
    <w:rsid w:val="00B73F04"/>
    <w:rsid w:val="00B91C4C"/>
    <w:rsid w:val="00BB18DF"/>
    <w:rsid w:val="00BB5DB9"/>
    <w:rsid w:val="00BC6582"/>
    <w:rsid w:val="00BD13DC"/>
    <w:rsid w:val="00BD1927"/>
    <w:rsid w:val="00BE4B33"/>
    <w:rsid w:val="00BE66CC"/>
    <w:rsid w:val="00C0148A"/>
    <w:rsid w:val="00C078CC"/>
    <w:rsid w:val="00C102A6"/>
    <w:rsid w:val="00C110DB"/>
    <w:rsid w:val="00C26579"/>
    <w:rsid w:val="00C27144"/>
    <w:rsid w:val="00C34DB7"/>
    <w:rsid w:val="00C52023"/>
    <w:rsid w:val="00C553AB"/>
    <w:rsid w:val="00C62557"/>
    <w:rsid w:val="00C62C99"/>
    <w:rsid w:val="00C63577"/>
    <w:rsid w:val="00C64FBC"/>
    <w:rsid w:val="00C70A8C"/>
    <w:rsid w:val="00C71453"/>
    <w:rsid w:val="00C74AA4"/>
    <w:rsid w:val="00C84E22"/>
    <w:rsid w:val="00C91B7F"/>
    <w:rsid w:val="00CA5203"/>
    <w:rsid w:val="00CB5B35"/>
    <w:rsid w:val="00CD10F6"/>
    <w:rsid w:val="00D02007"/>
    <w:rsid w:val="00D077E5"/>
    <w:rsid w:val="00D10FB7"/>
    <w:rsid w:val="00D23F11"/>
    <w:rsid w:val="00D3264B"/>
    <w:rsid w:val="00D34DD2"/>
    <w:rsid w:val="00D37D35"/>
    <w:rsid w:val="00D4523D"/>
    <w:rsid w:val="00D50388"/>
    <w:rsid w:val="00D55997"/>
    <w:rsid w:val="00D63923"/>
    <w:rsid w:val="00D6786F"/>
    <w:rsid w:val="00D745FF"/>
    <w:rsid w:val="00D77471"/>
    <w:rsid w:val="00D8272D"/>
    <w:rsid w:val="00D833B0"/>
    <w:rsid w:val="00D94427"/>
    <w:rsid w:val="00DA4C62"/>
    <w:rsid w:val="00DB386D"/>
    <w:rsid w:val="00DB6D38"/>
    <w:rsid w:val="00DC35BE"/>
    <w:rsid w:val="00E000FE"/>
    <w:rsid w:val="00E05013"/>
    <w:rsid w:val="00E06AC5"/>
    <w:rsid w:val="00E110A1"/>
    <w:rsid w:val="00E11EF8"/>
    <w:rsid w:val="00E15BA9"/>
    <w:rsid w:val="00E22F78"/>
    <w:rsid w:val="00E235E6"/>
    <w:rsid w:val="00E35E11"/>
    <w:rsid w:val="00E36EDC"/>
    <w:rsid w:val="00E4139D"/>
    <w:rsid w:val="00E41751"/>
    <w:rsid w:val="00E4725B"/>
    <w:rsid w:val="00E51353"/>
    <w:rsid w:val="00E55616"/>
    <w:rsid w:val="00E566EF"/>
    <w:rsid w:val="00E75DDD"/>
    <w:rsid w:val="00E766DE"/>
    <w:rsid w:val="00E822AC"/>
    <w:rsid w:val="00E84222"/>
    <w:rsid w:val="00E84251"/>
    <w:rsid w:val="00E870B7"/>
    <w:rsid w:val="00EA39EC"/>
    <w:rsid w:val="00EA6C13"/>
    <w:rsid w:val="00EB165B"/>
    <w:rsid w:val="00EC3499"/>
    <w:rsid w:val="00EC6C03"/>
    <w:rsid w:val="00ED07C0"/>
    <w:rsid w:val="00EF252D"/>
    <w:rsid w:val="00EF6AD7"/>
    <w:rsid w:val="00F200D7"/>
    <w:rsid w:val="00F24278"/>
    <w:rsid w:val="00F334CA"/>
    <w:rsid w:val="00F45AA6"/>
    <w:rsid w:val="00F55D38"/>
    <w:rsid w:val="00F61B34"/>
    <w:rsid w:val="00F76804"/>
    <w:rsid w:val="00F87E4C"/>
    <w:rsid w:val="00F94163"/>
    <w:rsid w:val="00F946F4"/>
    <w:rsid w:val="00F96D28"/>
    <w:rsid w:val="00FA2148"/>
    <w:rsid w:val="00FB0BE2"/>
    <w:rsid w:val="00FB7B4D"/>
    <w:rsid w:val="00FC4201"/>
    <w:rsid w:val="00FC4717"/>
    <w:rsid w:val="01FF7DA5"/>
    <w:rsid w:val="023646CE"/>
    <w:rsid w:val="038720C2"/>
    <w:rsid w:val="0390394A"/>
    <w:rsid w:val="05F30EDC"/>
    <w:rsid w:val="069523FE"/>
    <w:rsid w:val="073836D3"/>
    <w:rsid w:val="08170691"/>
    <w:rsid w:val="082F4AD6"/>
    <w:rsid w:val="095C5D9F"/>
    <w:rsid w:val="0AF526EE"/>
    <w:rsid w:val="0BA74C95"/>
    <w:rsid w:val="0BD806A7"/>
    <w:rsid w:val="0CCC4C0D"/>
    <w:rsid w:val="0CE42C8D"/>
    <w:rsid w:val="0DDA54E4"/>
    <w:rsid w:val="0F670FFA"/>
    <w:rsid w:val="1182211B"/>
    <w:rsid w:val="136829BB"/>
    <w:rsid w:val="141D25CF"/>
    <w:rsid w:val="15602773"/>
    <w:rsid w:val="16B719DF"/>
    <w:rsid w:val="19E5593D"/>
    <w:rsid w:val="1ABC044C"/>
    <w:rsid w:val="1B2D759B"/>
    <w:rsid w:val="1B3F2E2B"/>
    <w:rsid w:val="1B4548E5"/>
    <w:rsid w:val="1BB40F61"/>
    <w:rsid w:val="1C575630"/>
    <w:rsid w:val="1CB879C2"/>
    <w:rsid w:val="1CD27612"/>
    <w:rsid w:val="1D556936"/>
    <w:rsid w:val="1E220F0E"/>
    <w:rsid w:val="1F6D29A7"/>
    <w:rsid w:val="1FCD30FB"/>
    <w:rsid w:val="1FF36EA9"/>
    <w:rsid w:val="21B521FF"/>
    <w:rsid w:val="228D0920"/>
    <w:rsid w:val="228D2F3E"/>
    <w:rsid w:val="22D00EE8"/>
    <w:rsid w:val="238735C1"/>
    <w:rsid w:val="23BC770E"/>
    <w:rsid w:val="243F307E"/>
    <w:rsid w:val="24436962"/>
    <w:rsid w:val="2462529B"/>
    <w:rsid w:val="24A81A41"/>
    <w:rsid w:val="250B089A"/>
    <w:rsid w:val="258204E4"/>
    <w:rsid w:val="26AF355A"/>
    <w:rsid w:val="2709648F"/>
    <w:rsid w:val="274C6FFB"/>
    <w:rsid w:val="2867689A"/>
    <w:rsid w:val="28B54FA9"/>
    <w:rsid w:val="29093720"/>
    <w:rsid w:val="2967011C"/>
    <w:rsid w:val="298E7379"/>
    <w:rsid w:val="2A135BAE"/>
    <w:rsid w:val="2A3A313B"/>
    <w:rsid w:val="2B285689"/>
    <w:rsid w:val="2D510F8C"/>
    <w:rsid w:val="2F07529A"/>
    <w:rsid w:val="2F154A8F"/>
    <w:rsid w:val="2FF41FDE"/>
    <w:rsid w:val="30D267C6"/>
    <w:rsid w:val="31347244"/>
    <w:rsid w:val="313B4C27"/>
    <w:rsid w:val="31CA5EC6"/>
    <w:rsid w:val="31D62E51"/>
    <w:rsid w:val="322915B0"/>
    <w:rsid w:val="325F409A"/>
    <w:rsid w:val="32C959A4"/>
    <w:rsid w:val="333449DC"/>
    <w:rsid w:val="34721714"/>
    <w:rsid w:val="347E631A"/>
    <w:rsid w:val="35637F9E"/>
    <w:rsid w:val="35C91817"/>
    <w:rsid w:val="35E458E2"/>
    <w:rsid w:val="362E1B1C"/>
    <w:rsid w:val="366156A6"/>
    <w:rsid w:val="370C2303"/>
    <w:rsid w:val="37265C89"/>
    <w:rsid w:val="376659DD"/>
    <w:rsid w:val="38FB43DD"/>
    <w:rsid w:val="39E46C49"/>
    <w:rsid w:val="39F50A08"/>
    <w:rsid w:val="3AA311EB"/>
    <w:rsid w:val="3BD31641"/>
    <w:rsid w:val="3C210077"/>
    <w:rsid w:val="3D1561AD"/>
    <w:rsid w:val="3D8B71D2"/>
    <w:rsid w:val="3EF14CBA"/>
    <w:rsid w:val="3F367F1D"/>
    <w:rsid w:val="40460634"/>
    <w:rsid w:val="40606C5E"/>
    <w:rsid w:val="41DE664A"/>
    <w:rsid w:val="42116D2D"/>
    <w:rsid w:val="427A64AB"/>
    <w:rsid w:val="43A40DE2"/>
    <w:rsid w:val="44330622"/>
    <w:rsid w:val="446F129A"/>
    <w:rsid w:val="4531257A"/>
    <w:rsid w:val="45A60A24"/>
    <w:rsid w:val="45D564D1"/>
    <w:rsid w:val="47486CB4"/>
    <w:rsid w:val="4860600B"/>
    <w:rsid w:val="489625C8"/>
    <w:rsid w:val="497C0C22"/>
    <w:rsid w:val="49D24CE6"/>
    <w:rsid w:val="49DA7C04"/>
    <w:rsid w:val="4A323C48"/>
    <w:rsid w:val="4AD52CE0"/>
    <w:rsid w:val="4BFA1C12"/>
    <w:rsid w:val="4C217CE4"/>
    <w:rsid w:val="4C9A1585"/>
    <w:rsid w:val="4D183358"/>
    <w:rsid w:val="4E157897"/>
    <w:rsid w:val="4E9A0982"/>
    <w:rsid w:val="4F1E0E6C"/>
    <w:rsid w:val="4FA1500B"/>
    <w:rsid w:val="4FAD6D95"/>
    <w:rsid w:val="503D63F8"/>
    <w:rsid w:val="513B7615"/>
    <w:rsid w:val="51EB061E"/>
    <w:rsid w:val="522B76F6"/>
    <w:rsid w:val="52505342"/>
    <w:rsid w:val="533B5216"/>
    <w:rsid w:val="537750EC"/>
    <w:rsid w:val="53E60F09"/>
    <w:rsid w:val="55214D74"/>
    <w:rsid w:val="552F6762"/>
    <w:rsid w:val="568931F0"/>
    <w:rsid w:val="57E31E9C"/>
    <w:rsid w:val="593E58F0"/>
    <w:rsid w:val="5A0058E1"/>
    <w:rsid w:val="5A533C21"/>
    <w:rsid w:val="5ABD3BA8"/>
    <w:rsid w:val="5B1F4360"/>
    <w:rsid w:val="5B8816A9"/>
    <w:rsid w:val="5BD44056"/>
    <w:rsid w:val="5BFB7175"/>
    <w:rsid w:val="5DA4240B"/>
    <w:rsid w:val="5ED1697B"/>
    <w:rsid w:val="5F0650D0"/>
    <w:rsid w:val="601730BE"/>
    <w:rsid w:val="60BB2256"/>
    <w:rsid w:val="61203AA3"/>
    <w:rsid w:val="61B04D50"/>
    <w:rsid w:val="623B7475"/>
    <w:rsid w:val="626544F2"/>
    <w:rsid w:val="62956A80"/>
    <w:rsid w:val="68190258"/>
    <w:rsid w:val="682664D1"/>
    <w:rsid w:val="68531E86"/>
    <w:rsid w:val="68D26207"/>
    <w:rsid w:val="694D5CE0"/>
    <w:rsid w:val="6AB1551C"/>
    <w:rsid w:val="6B165B0C"/>
    <w:rsid w:val="6BC009EB"/>
    <w:rsid w:val="6BE034AF"/>
    <w:rsid w:val="6CB41E57"/>
    <w:rsid w:val="6DFF3979"/>
    <w:rsid w:val="6EA97E5C"/>
    <w:rsid w:val="6FC85B74"/>
    <w:rsid w:val="706C7393"/>
    <w:rsid w:val="71D84CE0"/>
    <w:rsid w:val="736E6F7E"/>
    <w:rsid w:val="739F4BCF"/>
    <w:rsid w:val="73CD1EF7"/>
    <w:rsid w:val="741B7039"/>
    <w:rsid w:val="755C79D6"/>
    <w:rsid w:val="75F96FD3"/>
    <w:rsid w:val="760D5A93"/>
    <w:rsid w:val="76F64AF2"/>
    <w:rsid w:val="7D32226E"/>
    <w:rsid w:val="7D3C4F18"/>
    <w:rsid w:val="7D5F76CD"/>
    <w:rsid w:val="7F4A6AF1"/>
    <w:rsid w:val="7F7D0C75"/>
    <w:rsid w:val="7F8E2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1"/>
    <w:basedOn w:val="1"/>
    <w:next w:val="1"/>
    <w:link w:val="224"/>
    <w:qFormat/>
    <w:uiPriority w:val="0"/>
    <w:pPr>
      <w:keepNext/>
      <w:keepLines/>
      <w:spacing w:before="340" w:after="330" w:line="578" w:lineRule="auto"/>
      <w:outlineLvl w:val="0"/>
    </w:pPr>
    <w:rPr>
      <w:rFonts w:eastAsia="楷体_GB2312"/>
      <w:b/>
      <w:sz w:val="44"/>
      <w:szCs w:val="20"/>
    </w:rPr>
  </w:style>
  <w:style w:type="paragraph" w:styleId="3">
    <w:name w:val="heading 2"/>
    <w:basedOn w:val="1"/>
    <w:next w:val="1"/>
    <w:link w:val="225"/>
    <w:qFormat/>
    <w:uiPriority w:val="0"/>
    <w:pPr>
      <w:keepNext/>
      <w:keepLines/>
      <w:spacing w:line="360" w:lineRule="auto"/>
      <w:outlineLvl w:val="1"/>
    </w:pPr>
    <w:rPr>
      <w:rFonts w:ascii="Cambria" w:hAnsi="Cambria"/>
      <w:b/>
      <w:bCs/>
      <w:sz w:val="32"/>
      <w:szCs w:val="32"/>
    </w:rPr>
  </w:style>
  <w:style w:type="paragraph" w:styleId="4">
    <w:name w:val="heading 3"/>
    <w:basedOn w:val="1"/>
    <w:next w:val="5"/>
    <w:link w:val="226"/>
    <w:autoRedefine/>
    <w:qFormat/>
    <w:uiPriority w:val="99"/>
    <w:pPr>
      <w:widowControl/>
      <w:spacing w:before="100" w:beforeAutospacing="1" w:after="100" w:afterAutospacing="1"/>
      <w:jc w:val="left"/>
      <w:outlineLvl w:val="2"/>
    </w:pPr>
    <w:rPr>
      <w:rFonts w:ascii="宋体" w:hAnsi="宋体"/>
      <w:b/>
      <w:bCs/>
      <w:sz w:val="27"/>
      <w:szCs w:val="27"/>
      <w:lang w:eastAsia="en-US"/>
    </w:rPr>
  </w:style>
  <w:style w:type="paragraph" w:styleId="5">
    <w:name w:val="heading 4"/>
    <w:basedOn w:val="1"/>
    <w:next w:val="1"/>
    <w:link w:val="227"/>
    <w:qFormat/>
    <w:uiPriority w:val="0"/>
    <w:pPr>
      <w:keepNext/>
      <w:keepLines/>
      <w:spacing w:before="280" w:after="290" w:line="376" w:lineRule="auto"/>
      <w:outlineLvl w:val="3"/>
    </w:pPr>
    <w:rPr>
      <w:rFonts w:ascii="Arial" w:hAnsi="Arial" w:eastAsia="黑体"/>
      <w:b/>
      <w:bCs/>
      <w:sz w:val="28"/>
      <w:szCs w:val="28"/>
      <w:lang w:eastAsia="en-US"/>
    </w:rPr>
  </w:style>
  <w:style w:type="paragraph" w:styleId="6">
    <w:name w:val="heading 5"/>
    <w:basedOn w:val="1"/>
    <w:next w:val="7"/>
    <w:link w:val="228"/>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8">
    <w:name w:val="heading 6"/>
    <w:basedOn w:val="1"/>
    <w:next w:val="7"/>
    <w:link w:val="230"/>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9">
    <w:name w:val="heading 7"/>
    <w:basedOn w:val="1"/>
    <w:next w:val="7"/>
    <w:link w:val="231"/>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0">
    <w:name w:val="heading 8"/>
    <w:basedOn w:val="1"/>
    <w:next w:val="7"/>
    <w:link w:val="232"/>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1">
    <w:name w:val="heading 9"/>
    <w:basedOn w:val="1"/>
    <w:next w:val="7"/>
    <w:link w:val="233"/>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229"/>
    <w:autoRedefine/>
    <w:qFormat/>
    <w:uiPriority w:val="0"/>
    <w:pPr>
      <w:ind w:firstLine="420"/>
      <w:jc w:val="left"/>
    </w:pPr>
    <w:rPr>
      <w:rFonts w:eastAsia="楷体_GB2312"/>
      <w:sz w:val="24"/>
      <w:szCs w:val="20"/>
      <w:lang w:eastAsia="en-US"/>
    </w:rPr>
  </w:style>
  <w:style w:type="paragraph" w:styleId="12">
    <w:name w:val="toc 7"/>
    <w:basedOn w:val="1"/>
    <w:next w:val="1"/>
    <w:autoRedefine/>
    <w:unhideWhenUsed/>
    <w:qFormat/>
    <w:uiPriority w:val="39"/>
    <w:pPr>
      <w:spacing w:after="57"/>
      <w:ind w:left="1701"/>
    </w:pPr>
  </w:style>
  <w:style w:type="paragraph" w:styleId="13">
    <w:name w:val="index 8"/>
    <w:basedOn w:val="1"/>
    <w:next w:val="1"/>
    <w:autoRedefine/>
    <w:qFormat/>
    <w:uiPriority w:val="0"/>
    <w:pPr>
      <w:ind w:left="2940"/>
    </w:pPr>
    <w:rPr>
      <w:rFonts w:eastAsia="楷体_GB2312"/>
      <w:sz w:val="26"/>
      <w:szCs w:val="20"/>
    </w:rPr>
  </w:style>
  <w:style w:type="paragraph" w:styleId="14">
    <w:name w:val="caption"/>
    <w:basedOn w:val="1"/>
    <w:next w:val="1"/>
    <w:autoRedefine/>
    <w:semiHidden/>
    <w:unhideWhenUsed/>
    <w:qFormat/>
    <w:uiPriority w:val="35"/>
    <w:pPr>
      <w:spacing w:line="276" w:lineRule="auto"/>
    </w:pPr>
    <w:rPr>
      <w:b/>
      <w:bCs/>
      <w:color w:val="4F81BD"/>
      <w:sz w:val="18"/>
      <w:szCs w:val="18"/>
    </w:rPr>
  </w:style>
  <w:style w:type="paragraph" w:styleId="15">
    <w:name w:val="index 5"/>
    <w:basedOn w:val="1"/>
    <w:next w:val="1"/>
    <w:autoRedefine/>
    <w:qFormat/>
    <w:uiPriority w:val="0"/>
    <w:pPr>
      <w:ind w:left="1680"/>
    </w:pPr>
    <w:rPr>
      <w:rFonts w:eastAsia="楷体_GB2312"/>
      <w:sz w:val="26"/>
      <w:szCs w:val="20"/>
    </w:rPr>
  </w:style>
  <w:style w:type="paragraph" w:styleId="16">
    <w:name w:val="Document Map"/>
    <w:basedOn w:val="1"/>
    <w:link w:val="235"/>
    <w:autoRedefine/>
    <w:unhideWhenUsed/>
    <w:qFormat/>
    <w:uiPriority w:val="0"/>
    <w:rPr>
      <w:rFonts w:ascii="宋体"/>
      <w:sz w:val="18"/>
      <w:szCs w:val="18"/>
    </w:rPr>
  </w:style>
  <w:style w:type="paragraph" w:styleId="17">
    <w:name w:val="annotation text"/>
    <w:basedOn w:val="1"/>
    <w:link w:val="236"/>
    <w:unhideWhenUsed/>
    <w:qFormat/>
    <w:uiPriority w:val="0"/>
    <w:pPr>
      <w:jc w:val="left"/>
    </w:pPr>
  </w:style>
  <w:style w:type="paragraph" w:styleId="18">
    <w:name w:val="index 6"/>
    <w:basedOn w:val="1"/>
    <w:next w:val="1"/>
    <w:autoRedefine/>
    <w:qFormat/>
    <w:uiPriority w:val="0"/>
    <w:pPr>
      <w:ind w:left="2100"/>
    </w:pPr>
    <w:rPr>
      <w:rFonts w:eastAsia="楷体_GB2312"/>
      <w:sz w:val="26"/>
      <w:szCs w:val="20"/>
    </w:rPr>
  </w:style>
  <w:style w:type="paragraph" w:styleId="19">
    <w:name w:val="Body Text"/>
    <w:basedOn w:val="1"/>
    <w:next w:val="20"/>
    <w:link w:val="237"/>
    <w:qFormat/>
    <w:uiPriority w:val="0"/>
    <w:pPr>
      <w:spacing w:after="120"/>
    </w:pPr>
    <w:rPr>
      <w:rFonts w:ascii="Times New Roman" w:hAnsi="Times New Roman"/>
    </w:rPr>
  </w:style>
  <w:style w:type="paragraph" w:customStyle="1" w:styleId="20">
    <w:name w:val="Default"/>
    <w:qFormat/>
    <w:uiPriority w:val="0"/>
    <w:pPr>
      <w:widowControl w:val="0"/>
    </w:pPr>
    <w:rPr>
      <w:rFonts w:ascii="微软雅黑" w:hAnsi="Times New Roman" w:eastAsia="微软雅黑" w:cs="微软雅黑"/>
      <w:color w:val="000000"/>
      <w:sz w:val="24"/>
      <w:szCs w:val="24"/>
      <w:lang w:val="en-US" w:eastAsia="zh-CN" w:bidi="ar-SA"/>
    </w:rPr>
  </w:style>
  <w:style w:type="paragraph" w:styleId="21">
    <w:name w:val="Body Text Indent"/>
    <w:basedOn w:val="1"/>
    <w:next w:val="22"/>
    <w:link w:val="222"/>
    <w:unhideWhenUsed/>
    <w:qFormat/>
    <w:uiPriority w:val="0"/>
    <w:pPr>
      <w:spacing w:after="120"/>
      <w:ind w:left="420"/>
    </w:pPr>
  </w:style>
  <w:style w:type="paragraph" w:styleId="22">
    <w:name w:val="Body Text First Indent 2"/>
    <w:basedOn w:val="21"/>
    <w:next w:val="1"/>
    <w:link w:val="417"/>
    <w:semiHidden/>
    <w:unhideWhenUsed/>
    <w:qFormat/>
    <w:uiPriority w:val="99"/>
    <w:pPr>
      <w:ind w:left="200" w:leftChars="200" w:firstLine="420" w:firstLineChars="200"/>
    </w:pPr>
  </w:style>
  <w:style w:type="paragraph" w:styleId="23">
    <w:name w:val="List 2"/>
    <w:basedOn w:val="1"/>
    <w:qFormat/>
    <w:uiPriority w:val="0"/>
    <w:pPr>
      <w:ind w:left="100" w:hanging="200"/>
    </w:pPr>
  </w:style>
  <w:style w:type="paragraph" w:styleId="24">
    <w:name w:val="Block Text"/>
    <w:basedOn w:val="1"/>
    <w:qFormat/>
    <w:uiPriority w:val="0"/>
    <w:pPr>
      <w:spacing w:line="360" w:lineRule="auto"/>
      <w:ind w:firstLine="640"/>
      <w:jc w:val="left"/>
    </w:pPr>
    <w:rPr>
      <w:rFonts w:ascii="Times New Roman" w:hAnsi="Times New Roman"/>
      <w:sz w:val="24"/>
    </w:rPr>
  </w:style>
  <w:style w:type="paragraph" w:styleId="25">
    <w:name w:val="index 4"/>
    <w:basedOn w:val="1"/>
    <w:next w:val="1"/>
    <w:qFormat/>
    <w:uiPriority w:val="0"/>
    <w:pPr>
      <w:ind w:left="1260"/>
    </w:pPr>
    <w:rPr>
      <w:szCs w:val="20"/>
    </w:rPr>
  </w:style>
  <w:style w:type="paragraph" w:styleId="26">
    <w:name w:val="toc 5"/>
    <w:basedOn w:val="1"/>
    <w:next w:val="1"/>
    <w:unhideWhenUsed/>
    <w:qFormat/>
    <w:uiPriority w:val="39"/>
    <w:pPr>
      <w:spacing w:after="57"/>
      <w:ind w:left="1134"/>
    </w:pPr>
  </w:style>
  <w:style w:type="paragraph" w:styleId="27">
    <w:name w:val="toc 3"/>
    <w:basedOn w:val="1"/>
    <w:next w:val="1"/>
    <w:unhideWhenUsed/>
    <w:qFormat/>
    <w:uiPriority w:val="39"/>
    <w:pPr>
      <w:spacing w:after="57"/>
      <w:ind w:left="567"/>
    </w:pPr>
  </w:style>
  <w:style w:type="paragraph" w:styleId="28">
    <w:name w:val="Plain Text"/>
    <w:basedOn w:val="1"/>
    <w:next w:val="1"/>
    <w:link w:val="241"/>
    <w:qFormat/>
    <w:uiPriority w:val="0"/>
    <w:rPr>
      <w:rFonts w:ascii="宋体" w:hAnsi="Courier New"/>
      <w:szCs w:val="20"/>
      <w:lang w:eastAsia="en-US"/>
    </w:rPr>
  </w:style>
  <w:style w:type="paragraph" w:styleId="29">
    <w:name w:val="toc 8"/>
    <w:basedOn w:val="1"/>
    <w:next w:val="1"/>
    <w:unhideWhenUsed/>
    <w:qFormat/>
    <w:uiPriority w:val="39"/>
    <w:pPr>
      <w:spacing w:after="57"/>
      <w:ind w:left="1984"/>
    </w:pPr>
  </w:style>
  <w:style w:type="paragraph" w:styleId="30">
    <w:name w:val="index 3"/>
    <w:basedOn w:val="1"/>
    <w:next w:val="1"/>
    <w:qFormat/>
    <w:uiPriority w:val="0"/>
    <w:pPr>
      <w:ind w:left="840"/>
    </w:pPr>
    <w:rPr>
      <w:rFonts w:eastAsia="楷体_GB2312"/>
      <w:sz w:val="26"/>
      <w:szCs w:val="20"/>
    </w:rPr>
  </w:style>
  <w:style w:type="paragraph" w:styleId="31">
    <w:name w:val="Date"/>
    <w:basedOn w:val="1"/>
    <w:next w:val="1"/>
    <w:link w:val="243"/>
    <w:qFormat/>
    <w:uiPriority w:val="0"/>
    <w:rPr>
      <w:rFonts w:ascii="宋体" w:hAnsi="宋体" w:eastAsia="楷体_GB2312"/>
      <w:sz w:val="24"/>
      <w:szCs w:val="20"/>
    </w:rPr>
  </w:style>
  <w:style w:type="paragraph" w:styleId="32">
    <w:name w:val="Body Text Indent 2"/>
    <w:basedOn w:val="1"/>
    <w:link w:val="244"/>
    <w:qFormat/>
    <w:uiPriority w:val="0"/>
    <w:pPr>
      <w:tabs>
        <w:tab w:val="left" w:pos="0"/>
      </w:tabs>
      <w:spacing w:line="360" w:lineRule="auto"/>
      <w:ind w:firstLine="502"/>
    </w:pPr>
    <w:rPr>
      <w:rFonts w:ascii="宋体"/>
      <w:b/>
      <w:bCs/>
      <w:sz w:val="24"/>
      <w:szCs w:val="20"/>
    </w:rPr>
  </w:style>
  <w:style w:type="paragraph" w:styleId="33">
    <w:name w:val="endnote text"/>
    <w:basedOn w:val="1"/>
    <w:link w:val="219"/>
    <w:semiHidden/>
    <w:unhideWhenUsed/>
    <w:qFormat/>
    <w:uiPriority w:val="99"/>
    <w:rPr>
      <w:sz w:val="20"/>
    </w:rPr>
  </w:style>
  <w:style w:type="paragraph" w:styleId="34">
    <w:name w:val="Balloon Text"/>
    <w:basedOn w:val="1"/>
    <w:link w:val="245"/>
    <w:unhideWhenUsed/>
    <w:qFormat/>
    <w:uiPriority w:val="0"/>
    <w:rPr>
      <w:sz w:val="18"/>
      <w:szCs w:val="18"/>
    </w:rPr>
  </w:style>
  <w:style w:type="paragraph" w:styleId="35">
    <w:name w:val="footer"/>
    <w:basedOn w:val="1"/>
    <w:link w:val="246"/>
    <w:unhideWhenUsed/>
    <w:qFormat/>
    <w:uiPriority w:val="99"/>
    <w:pPr>
      <w:tabs>
        <w:tab w:val="center" w:pos="4153"/>
        <w:tab w:val="right" w:pos="8306"/>
      </w:tabs>
      <w:jc w:val="left"/>
    </w:pPr>
    <w:rPr>
      <w:sz w:val="18"/>
      <w:szCs w:val="18"/>
    </w:rPr>
  </w:style>
  <w:style w:type="paragraph" w:styleId="36">
    <w:name w:val="envelope return"/>
    <w:basedOn w:val="1"/>
    <w:unhideWhenUsed/>
    <w:qFormat/>
    <w:uiPriority w:val="99"/>
    <w:rPr>
      <w:rFonts w:ascii="Arial" w:hAnsi="Arial" w:eastAsia="楷体_GB2312"/>
      <w:sz w:val="26"/>
      <w:szCs w:val="20"/>
    </w:rPr>
  </w:style>
  <w:style w:type="paragraph" w:styleId="37">
    <w:name w:val="header"/>
    <w:basedOn w:val="1"/>
    <w:link w:val="247"/>
    <w:unhideWhenUsed/>
    <w:qFormat/>
    <w:uiPriority w:val="99"/>
    <w:pPr>
      <w:pBdr>
        <w:bottom w:val="single" w:color="000000" w:sz="6" w:space="1"/>
      </w:pBdr>
      <w:tabs>
        <w:tab w:val="center" w:pos="4153"/>
        <w:tab w:val="right" w:pos="8306"/>
      </w:tabs>
      <w:jc w:val="center"/>
    </w:pPr>
    <w:rPr>
      <w:sz w:val="18"/>
      <w:szCs w:val="18"/>
    </w:rPr>
  </w:style>
  <w:style w:type="paragraph" w:styleId="38">
    <w:name w:val="Signature"/>
    <w:basedOn w:val="1"/>
    <w:link w:val="248"/>
    <w:qFormat/>
    <w:uiPriority w:val="0"/>
    <w:pPr>
      <w:spacing w:after="600" w:line="312" w:lineRule="atLeast"/>
      <w:jc w:val="center"/>
    </w:pPr>
    <w:rPr>
      <w:rFonts w:eastAsia="仿宋_GB2312"/>
      <w:sz w:val="24"/>
      <w:szCs w:val="20"/>
    </w:rPr>
  </w:style>
  <w:style w:type="paragraph" w:styleId="39">
    <w:name w:val="toc 1"/>
    <w:basedOn w:val="1"/>
    <w:next w:val="1"/>
    <w:unhideWhenUsed/>
    <w:qFormat/>
    <w:uiPriority w:val="39"/>
    <w:pPr>
      <w:spacing w:after="57"/>
    </w:pPr>
  </w:style>
  <w:style w:type="paragraph" w:styleId="40">
    <w:name w:val="toc 4"/>
    <w:basedOn w:val="1"/>
    <w:next w:val="1"/>
    <w:unhideWhenUsed/>
    <w:qFormat/>
    <w:uiPriority w:val="39"/>
    <w:pPr>
      <w:spacing w:after="57"/>
      <w:ind w:left="850"/>
    </w:pPr>
  </w:style>
  <w:style w:type="paragraph" w:styleId="41">
    <w:name w:val="index heading"/>
    <w:basedOn w:val="1"/>
    <w:next w:val="42"/>
    <w:qFormat/>
    <w:uiPriority w:val="0"/>
    <w:rPr>
      <w:rFonts w:eastAsia="楷体_GB2312"/>
      <w:sz w:val="26"/>
      <w:szCs w:val="20"/>
    </w:rPr>
  </w:style>
  <w:style w:type="paragraph" w:styleId="42">
    <w:name w:val="index 1"/>
    <w:basedOn w:val="1"/>
    <w:next w:val="1"/>
    <w:unhideWhenUsed/>
    <w:qFormat/>
    <w:uiPriority w:val="0"/>
  </w:style>
  <w:style w:type="paragraph" w:styleId="43">
    <w:name w:val="Subtitle"/>
    <w:basedOn w:val="1"/>
    <w:next w:val="1"/>
    <w:link w:val="86"/>
    <w:qFormat/>
    <w:uiPriority w:val="11"/>
    <w:pPr>
      <w:spacing w:before="200" w:after="200"/>
    </w:pPr>
    <w:rPr>
      <w:sz w:val="24"/>
      <w:szCs w:val="24"/>
    </w:rPr>
  </w:style>
  <w:style w:type="paragraph" w:styleId="44">
    <w:name w:val="footnote text"/>
    <w:basedOn w:val="1"/>
    <w:link w:val="251"/>
    <w:qFormat/>
    <w:uiPriority w:val="0"/>
    <w:pPr>
      <w:jc w:val="left"/>
    </w:pPr>
    <w:rPr>
      <w:rFonts w:eastAsia="楷体_GB2312"/>
      <w:sz w:val="18"/>
      <w:szCs w:val="20"/>
    </w:rPr>
  </w:style>
  <w:style w:type="paragraph" w:styleId="45">
    <w:name w:val="toc 6"/>
    <w:basedOn w:val="1"/>
    <w:next w:val="1"/>
    <w:unhideWhenUsed/>
    <w:qFormat/>
    <w:uiPriority w:val="39"/>
    <w:pPr>
      <w:spacing w:after="57"/>
      <w:ind w:left="1417"/>
    </w:pPr>
  </w:style>
  <w:style w:type="paragraph" w:styleId="46">
    <w:name w:val="Body Text Indent 3"/>
    <w:basedOn w:val="1"/>
    <w:link w:val="253"/>
    <w:qFormat/>
    <w:uiPriority w:val="0"/>
    <w:pPr>
      <w:spacing w:line="360" w:lineRule="auto"/>
      <w:ind w:firstLine="617"/>
    </w:pPr>
    <w:rPr>
      <w:sz w:val="24"/>
      <w:szCs w:val="24"/>
    </w:rPr>
  </w:style>
  <w:style w:type="paragraph" w:styleId="47">
    <w:name w:val="index 7"/>
    <w:basedOn w:val="1"/>
    <w:next w:val="1"/>
    <w:qFormat/>
    <w:uiPriority w:val="0"/>
    <w:pPr>
      <w:ind w:left="2520"/>
    </w:pPr>
    <w:rPr>
      <w:rFonts w:eastAsia="楷体_GB2312"/>
      <w:sz w:val="26"/>
      <w:szCs w:val="20"/>
    </w:rPr>
  </w:style>
  <w:style w:type="paragraph" w:styleId="48">
    <w:name w:val="index 9"/>
    <w:basedOn w:val="1"/>
    <w:next w:val="1"/>
    <w:qFormat/>
    <w:uiPriority w:val="0"/>
    <w:pPr>
      <w:ind w:left="3360"/>
    </w:pPr>
    <w:rPr>
      <w:rFonts w:eastAsia="楷体_GB2312"/>
      <w:sz w:val="26"/>
      <w:szCs w:val="20"/>
    </w:rPr>
  </w:style>
  <w:style w:type="paragraph" w:styleId="49">
    <w:name w:val="table of figures"/>
    <w:basedOn w:val="1"/>
    <w:next w:val="1"/>
    <w:qFormat/>
    <w:uiPriority w:val="0"/>
    <w:pPr>
      <w:ind w:left="420" w:hanging="420"/>
      <w:jc w:val="left"/>
    </w:pPr>
    <w:rPr>
      <w:rFonts w:eastAsia="楷体_GB2312"/>
      <w:smallCaps/>
      <w:sz w:val="24"/>
      <w:szCs w:val="20"/>
    </w:rPr>
  </w:style>
  <w:style w:type="paragraph" w:styleId="50">
    <w:name w:val="toc 2"/>
    <w:basedOn w:val="1"/>
    <w:next w:val="1"/>
    <w:unhideWhenUsed/>
    <w:qFormat/>
    <w:uiPriority w:val="39"/>
    <w:pPr>
      <w:spacing w:after="57"/>
      <w:ind w:left="283"/>
    </w:pPr>
  </w:style>
  <w:style w:type="paragraph" w:styleId="51">
    <w:name w:val="toc 9"/>
    <w:basedOn w:val="1"/>
    <w:next w:val="1"/>
    <w:unhideWhenUsed/>
    <w:qFormat/>
    <w:uiPriority w:val="39"/>
    <w:pPr>
      <w:spacing w:after="57"/>
      <w:ind w:left="2268"/>
    </w:pPr>
  </w:style>
  <w:style w:type="paragraph" w:styleId="52">
    <w:name w:val="HTML Preformatted"/>
    <w:basedOn w:val="1"/>
    <w:link w:val="4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szCs w:val="20"/>
    </w:rPr>
  </w:style>
  <w:style w:type="paragraph" w:styleId="53">
    <w:name w:val="Normal (Web)"/>
    <w:basedOn w:val="1"/>
    <w:link w:val="257"/>
    <w:unhideWhenUsed/>
    <w:qFormat/>
    <w:uiPriority w:val="0"/>
    <w:pPr>
      <w:spacing w:before="100" w:beforeAutospacing="1" w:after="100" w:afterAutospacing="1"/>
      <w:jc w:val="left"/>
    </w:pPr>
    <w:rPr>
      <w:sz w:val="24"/>
      <w:szCs w:val="20"/>
      <w:lang w:eastAsia="en-US"/>
    </w:rPr>
  </w:style>
  <w:style w:type="paragraph" w:styleId="54">
    <w:name w:val="index 2"/>
    <w:basedOn w:val="1"/>
    <w:next w:val="1"/>
    <w:qFormat/>
    <w:uiPriority w:val="0"/>
    <w:pPr>
      <w:ind w:left="420"/>
    </w:pPr>
    <w:rPr>
      <w:rFonts w:eastAsia="楷体_GB2312"/>
      <w:sz w:val="26"/>
      <w:szCs w:val="20"/>
    </w:rPr>
  </w:style>
  <w:style w:type="paragraph" w:styleId="55">
    <w:name w:val="Title"/>
    <w:basedOn w:val="1"/>
    <w:next w:val="1"/>
    <w:link w:val="85"/>
    <w:qFormat/>
    <w:uiPriority w:val="10"/>
    <w:pPr>
      <w:spacing w:before="300" w:after="200"/>
      <w:contextualSpacing/>
    </w:pPr>
    <w:rPr>
      <w:sz w:val="48"/>
      <w:szCs w:val="48"/>
    </w:rPr>
  </w:style>
  <w:style w:type="paragraph" w:styleId="56">
    <w:name w:val="annotation subject"/>
    <w:basedOn w:val="17"/>
    <w:next w:val="17"/>
    <w:link w:val="258"/>
    <w:unhideWhenUsed/>
    <w:qFormat/>
    <w:uiPriority w:val="0"/>
    <w:rPr>
      <w:b/>
      <w:bCs/>
    </w:rPr>
  </w:style>
  <w:style w:type="paragraph" w:styleId="57">
    <w:name w:val="Body Text First Indent"/>
    <w:basedOn w:val="19"/>
    <w:qFormat/>
    <w:uiPriority w:val="0"/>
    <w:pPr>
      <w:ind w:firstLine="420" w:firstLineChars="100"/>
    </w:pPr>
  </w:style>
  <w:style w:type="table" w:styleId="59">
    <w:name w:val="Table Grid"/>
    <w:basedOn w:val="5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endnote reference"/>
    <w:semiHidden/>
    <w:unhideWhenUsed/>
    <w:qFormat/>
    <w:uiPriority w:val="99"/>
    <w:rPr>
      <w:vertAlign w:val="superscript"/>
    </w:rPr>
  </w:style>
  <w:style w:type="character" w:styleId="63">
    <w:name w:val="page number"/>
    <w:qFormat/>
    <w:uiPriority w:val="0"/>
  </w:style>
  <w:style w:type="character" w:styleId="64">
    <w:name w:val="Emphasis"/>
    <w:qFormat/>
    <w:uiPriority w:val="0"/>
    <w:rPr>
      <w:i/>
      <w:iCs/>
    </w:rPr>
  </w:style>
  <w:style w:type="character" w:styleId="65">
    <w:name w:val="line number"/>
    <w:qFormat/>
    <w:uiPriority w:val="0"/>
  </w:style>
  <w:style w:type="character" w:styleId="66">
    <w:name w:val="HTML Definition"/>
    <w:qFormat/>
    <w:uiPriority w:val="0"/>
    <w:rPr>
      <w:i/>
    </w:rPr>
  </w:style>
  <w:style w:type="character" w:styleId="67">
    <w:name w:val="Hyperlink"/>
    <w:unhideWhenUsed/>
    <w:qFormat/>
    <w:uiPriority w:val="99"/>
    <w:rPr>
      <w:color w:val="0000FF"/>
      <w:u w:val="single"/>
    </w:rPr>
  </w:style>
  <w:style w:type="character" w:styleId="68">
    <w:name w:val="HTML Code"/>
    <w:qFormat/>
    <w:uiPriority w:val="0"/>
    <w:rPr>
      <w:rFonts w:ascii="Menlo" w:hAnsi="Menlo" w:eastAsia="Menlo" w:cs="Menlo"/>
      <w:color w:val="C7254E"/>
      <w:sz w:val="21"/>
      <w:szCs w:val="21"/>
      <w:shd w:val="clear" w:color="auto" w:fill="F9F2F4"/>
    </w:rPr>
  </w:style>
  <w:style w:type="character" w:styleId="69">
    <w:name w:val="annotation reference"/>
    <w:unhideWhenUsed/>
    <w:qFormat/>
    <w:uiPriority w:val="0"/>
    <w:rPr>
      <w:sz w:val="21"/>
      <w:szCs w:val="21"/>
    </w:rPr>
  </w:style>
  <w:style w:type="character" w:styleId="70">
    <w:name w:val="HTML Cite"/>
    <w:qFormat/>
    <w:uiPriority w:val="0"/>
  </w:style>
  <w:style w:type="character" w:styleId="71">
    <w:name w:val="footnote reference"/>
    <w:qFormat/>
    <w:uiPriority w:val="0"/>
    <w:rPr>
      <w:vertAlign w:val="superscript"/>
    </w:rPr>
  </w:style>
  <w:style w:type="character" w:styleId="72">
    <w:name w:val="HTML Keyboard"/>
    <w:qFormat/>
    <w:uiPriority w:val="0"/>
    <w:rPr>
      <w:rFonts w:ascii="Menlo" w:hAnsi="Menlo" w:eastAsia="Menlo" w:cs="Menlo"/>
      <w:sz w:val="21"/>
      <w:szCs w:val="21"/>
    </w:rPr>
  </w:style>
  <w:style w:type="character" w:styleId="73">
    <w:name w:val="HTML Sample"/>
    <w:qFormat/>
    <w:uiPriority w:val="0"/>
    <w:rPr>
      <w:rFonts w:ascii="Menlo" w:hAnsi="Menlo" w:eastAsia="Menlo" w:cs="Menlo"/>
      <w:sz w:val="21"/>
      <w:szCs w:val="21"/>
    </w:rPr>
  </w:style>
  <w:style w:type="character" w:customStyle="1" w:styleId="74">
    <w:name w:val="Heading 1 Char"/>
    <w:qFormat/>
    <w:uiPriority w:val="9"/>
    <w:rPr>
      <w:rFonts w:ascii="Arial" w:hAnsi="Arial" w:eastAsia="Arial" w:cs="Arial"/>
      <w:sz w:val="40"/>
      <w:szCs w:val="40"/>
    </w:rPr>
  </w:style>
  <w:style w:type="character" w:customStyle="1" w:styleId="75">
    <w:name w:val="Heading 2 Char"/>
    <w:qFormat/>
    <w:uiPriority w:val="9"/>
    <w:rPr>
      <w:rFonts w:ascii="Arial" w:hAnsi="Arial" w:eastAsia="Arial" w:cs="Arial"/>
      <w:sz w:val="34"/>
    </w:rPr>
  </w:style>
  <w:style w:type="character" w:customStyle="1" w:styleId="76">
    <w:name w:val="Heading 3 Char"/>
    <w:qFormat/>
    <w:uiPriority w:val="9"/>
    <w:rPr>
      <w:rFonts w:ascii="Arial" w:hAnsi="Arial" w:eastAsia="Arial" w:cs="Arial"/>
      <w:sz w:val="30"/>
      <w:szCs w:val="30"/>
    </w:rPr>
  </w:style>
  <w:style w:type="character" w:customStyle="1" w:styleId="77">
    <w:name w:val="Heading 4 Char"/>
    <w:qFormat/>
    <w:uiPriority w:val="9"/>
    <w:rPr>
      <w:rFonts w:ascii="Arial" w:hAnsi="Arial" w:eastAsia="Arial" w:cs="Arial"/>
      <w:b/>
      <w:bCs/>
      <w:sz w:val="26"/>
      <w:szCs w:val="26"/>
    </w:rPr>
  </w:style>
  <w:style w:type="character" w:customStyle="1" w:styleId="78">
    <w:name w:val="Heading 5 Char"/>
    <w:qFormat/>
    <w:uiPriority w:val="9"/>
    <w:rPr>
      <w:rFonts w:ascii="Arial" w:hAnsi="Arial" w:eastAsia="Arial" w:cs="Arial"/>
      <w:b/>
      <w:bCs/>
      <w:sz w:val="24"/>
      <w:szCs w:val="24"/>
    </w:rPr>
  </w:style>
  <w:style w:type="character" w:customStyle="1" w:styleId="79">
    <w:name w:val="Heading 6 Char"/>
    <w:qFormat/>
    <w:uiPriority w:val="9"/>
    <w:rPr>
      <w:rFonts w:ascii="Arial" w:hAnsi="Arial" w:eastAsia="Arial" w:cs="Arial"/>
      <w:b/>
      <w:bCs/>
      <w:sz w:val="22"/>
      <w:szCs w:val="22"/>
    </w:rPr>
  </w:style>
  <w:style w:type="character" w:customStyle="1" w:styleId="80">
    <w:name w:val="Heading 7 Char"/>
    <w:qFormat/>
    <w:uiPriority w:val="9"/>
    <w:rPr>
      <w:rFonts w:ascii="Arial" w:hAnsi="Arial" w:eastAsia="Arial" w:cs="Arial"/>
      <w:b/>
      <w:bCs/>
      <w:i/>
      <w:iCs/>
      <w:sz w:val="22"/>
      <w:szCs w:val="22"/>
    </w:rPr>
  </w:style>
  <w:style w:type="character" w:customStyle="1" w:styleId="81">
    <w:name w:val="Heading 8 Char"/>
    <w:qFormat/>
    <w:uiPriority w:val="9"/>
    <w:rPr>
      <w:rFonts w:ascii="Arial" w:hAnsi="Arial" w:eastAsia="Arial" w:cs="Arial"/>
      <w:i/>
      <w:iCs/>
      <w:sz w:val="22"/>
      <w:szCs w:val="22"/>
    </w:rPr>
  </w:style>
  <w:style w:type="character" w:customStyle="1" w:styleId="82">
    <w:name w:val="Heading 9 Char"/>
    <w:qFormat/>
    <w:uiPriority w:val="9"/>
    <w:rPr>
      <w:rFonts w:ascii="Arial" w:hAnsi="Arial" w:eastAsia="Arial" w:cs="Arial"/>
      <w:i/>
      <w:iCs/>
      <w:sz w:val="21"/>
      <w:szCs w:val="21"/>
    </w:rPr>
  </w:style>
  <w:style w:type="paragraph" w:styleId="83">
    <w:name w:val="List Paragraph"/>
    <w:basedOn w:val="1"/>
    <w:qFormat/>
    <w:uiPriority w:val="34"/>
    <w:pPr>
      <w:ind w:left="720"/>
      <w:contextualSpacing/>
    </w:pPr>
  </w:style>
  <w:style w:type="paragraph" w:styleId="84">
    <w:name w:val="No Spacing"/>
    <w:qFormat/>
    <w:uiPriority w:val="99"/>
    <w:pPr>
      <w:widowControl w:val="0"/>
      <w:jc w:val="both"/>
    </w:pPr>
    <w:rPr>
      <w:rFonts w:ascii="Calibri" w:hAnsi="Calibri" w:eastAsia="楷体_GB2312" w:cs="Times New Roman"/>
      <w:sz w:val="26"/>
      <w:lang w:val="en-US" w:eastAsia="zh-CN" w:bidi="ar-SA"/>
    </w:rPr>
  </w:style>
  <w:style w:type="character" w:customStyle="1" w:styleId="85">
    <w:name w:val="标题 字符"/>
    <w:link w:val="55"/>
    <w:qFormat/>
    <w:uiPriority w:val="10"/>
    <w:rPr>
      <w:sz w:val="48"/>
      <w:szCs w:val="48"/>
    </w:rPr>
  </w:style>
  <w:style w:type="character" w:customStyle="1" w:styleId="86">
    <w:name w:val="副标题 字符"/>
    <w:link w:val="43"/>
    <w:qFormat/>
    <w:uiPriority w:val="11"/>
    <w:rPr>
      <w:sz w:val="24"/>
      <w:szCs w:val="24"/>
    </w:rPr>
  </w:style>
  <w:style w:type="paragraph" w:styleId="87">
    <w:name w:val="Quote"/>
    <w:basedOn w:val="1"/>
    <w:next w:val="1"/>
    <w:link w:val="88"/>
    <w:qFormat/>
    <w:uiPriority w:val="29"/>
    <w:pPr>
      <w:ind w:left="720" w:right="720"/>
    </w:pPr>
    <w:rPr>
      <w:i/>
    </w:rPr>
  </w:style>
  <w:style w:type="character" w:customStyle="1" w:styleId="88">
    <w:name w:val="引用 字符"/>
    <w:link w:val="87"/>
    <w:qFormat/>
    <w:uiPriority w:val="29"/>
    <w:rPr>
      <w:i/>
    </w:rPr>
  </w:style>
  <w:style w:type="paragraph" w:styleId="89">
    <w:name w:val="Intense Quote"/>
    <w:basedOn w:val="1"/>
    <w:next w:val="1"/>
    <w:link w:val="9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0">
    <w:name w:val="明显引用 字符"/>
    <w:link w:val="89"/>
    <w:qFormat/>
    <w:uiPriority w:val="30"/>
    <w:rPr>
      <w:i/>
    </w:rPr>
  </w:style>
  <w:style w:type="character" w:customStyle="1" w:styleId="91">
    <w:name w:val="Footer Char"/>
    <w:qFormat/>
    <w:uiPriority w:val="99"/>
  </w:style>
  <w:style w:type="character" w:customStyle="1" w:styleId="92">
    <w:name w:val="Caption Char"/>
    <w:qFormat/>
    <w:uiPriority w:val="99"/>
  </w:style>
  <w:style w:type="table" w:customStyle="1" w:styleId="93">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4">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5">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6">
    <w:name w:val="无格式表格 31"/>
    <w:qFormat/>
    <w:uiPriority w:val="99"/>
    <w:tblPr>
      <w:tblCellMar>
        <w:top w:w="0" w:type="dxa"/>
        <w:left w:w="0" w:type="dxa"/>
        <w:bottom w:w="0" w:type="dxa"/>
        <w:right w:w="0" w:type="dxa"/>
      </w:tblCellMar>
    </w:tblPr>
  </w:style>
  <w:style w:type="table" w:customStyle="1" w:styleId="97">
    <w:name w:val="无格式表格 41"/>
    <w:qFormat/>
    <w:uiPriority w:val="99"/>
    <w:tblPr>
      <w:tblCellMar>
        <w:top w:w="0" w:type="dxa"/>
        <w:left w:w="0" w:type="dxa"/>
        <w:bottom w:w="0" w:type="dxa"/>
        <w:right w:w="0" w:type="dxa"/>
      </w:tblCellMar>
    </w:tblPr>
  </w:style>
  <w:style w:type="table" w:customStyle="1" w:styleId="98">
    <w:name w:val="无格式表格 51"/>
    <w:qFormat/>
    <w:uiPriority w:val="99"/>
    <w:tblPr>
      <w:tblCellMar>
        <w:top w:w="0" w:type="dxa"/>
        <w:left w:w="0" w:type="dxa"/>
        <w:bottom w:w="0" w:type="dxa"/>
        <w:right w:w="0" w:type="dxa"/>
      </w:tblCellMar>
    </w:tblPr>
  </w:style>
  <w:style w:type="table" w:customStyle="1" w:styleId="99">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00">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1">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2">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3">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4">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5">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6">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7">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8">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9">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0">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1">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2">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3">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4">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5">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6">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7">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8">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9">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0">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21">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2">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3">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4">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5">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6">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7">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8">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9">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1">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2">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3">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4">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5">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6">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7">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8">
    <w:name w:val="清单表 1 浅色1"/>
    <w:qFormat/>
    <w:uiPriority w:val="99"/>
    <w:tblPr>
      <w:tblCellMar>
        <w:top w:w="0" w:type="dxa"/>
        <w:left w:w="0" w:type="dxa"/>
        <w:bottom w:w="0" w:type="dxa"/>
        <w:right w:w="0" w:type="dxa"/>
      </w:tblCellMar>
    </w:tblPr>
  </w:style>
  <w:style w:type="table" w:customStyle="1" w:styleId="149">
    <w:name w:val="List Table 1 Light - Accent 1"/>
    <w:qFormat/>
    <w:uiPriority w:val="99"/>
    <w:tblPr>
      <w:tblCellMar>
        <w:top w:w="0" w:type="dxa"/>
        <w:left w:w="0" w:type="dxa"/>
        <w:bottom w:w="0" w:type="dxa"/>
        <w:right w:w="0" w:type="dxa"/>
      </w:tblCellMar>
    </w:tblPr>
  </w:style>
  <w:style w:type="table" w:customStyle="1" w:styleId="150">
    <w:name w:val="List Table 1 Light - Accent 2"/>
    <w:qFormat/>
    <w:uiPriority w:val="99"/>
    <w:tblPr>
      <w:tblCellMar>
        <w:top w:w="0" w:type="dxa"/>
        <w:left w:w="0" w:type="dxa"/>
        <w:bottom w:w="0" w:type="dxa"/>
        <w:right w:w="0" w:type="dxa"/>
      </w:tblCellMar>
    </w:tblPr>
  </w:style>
  <w:style w:type="table" w:customStyle="1" w:styleId="151">
    <w:name w:val="List Table 1 Light - Accent 3"/>
    <w:qFormat/>
    <w:uiPriority w:val="99"/>
    <w:tblPr>
      <w:tblCellMar>
        <w:top w:w="0" w:type="dxa"/>
        <w:left w:w="0" w:type="dxa"/>
        <w:bottom w:w="0" w:type="dxa"/>
        <w:right w:w="0" w:type="dxa"/>
      </w:tblCellMar>
    </w:tblPr>
  </w:style>
  <w:style w:type="table" w:customStyle="1" w:styleId="152">
    <w:name w:val="List Table 1 Light - Accent 4"/>
    <w:qFormat/>
    <w:uiPriority w:val="99"/>
    <w:tblPr>
      <w:tblCellMar>
        <w:top w:w="0" w:type="dxa"/>
        <w:left w:w="0" w:type="dxa"/>
        <w:bottom w:w="0" w:type="dxa"/>
        <w:right w:w="0" w:type="dxa"/>
      </w:tblCellMar>
    </w:tblPr>
  </w:style>
  <w:style w:type="table" w:customStyle="1" w:styleId="153">
    <w:name w:val="List Table 1 Light - Accent 5"/>
    <w:qFormat/>
    <w:uiPriority w:val="99"/>
    <w:tblPr>
      <w:tblCellMar>
        <w:top w:w="0" w:type="dxa"/>
        <w:left w:w="0" w:type="dxa"/>
        <w:bottom w:w="0" w:type="dxa"/>
        <w:right w:w="0" w:type="dxa"/>
      </w:tblCellMar>
    </w:tblPr>
  </w:style>
  <w:style w:type="table" w:customStyle="1" w:styleId="154">
    <w:name w:val="List Table 1 Light - Accent 6"/>
    <w:qFormat/>
    <w:uiPriority w:val="99"/>
    <w:tblPr>
      <w:tblCellMar>
        <w:top w:w="0" w:type="dxa"/>
        <w:left w:w="0" w:type="dxa"/>
        <w:bottom w:w="0" w:type="dxa"/>
        <w:right w:w="0" w:type="dxa"/>
      </w:tblCellMar>
    </w:tblPr>
  </w:style>
  <w:style w:type="table" w:customStyle="1" w:styleId="155">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6">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7">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8">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9">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60">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1">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2">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3">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4">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5">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6">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7">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8">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9">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70">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71">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2">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3">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4">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5">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6">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77">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8">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9">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80">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81">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2">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3">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4">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5">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6">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7">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8">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9">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90">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91">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2">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3">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4">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5">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6">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7">
    <w:name w:val="Lined - Accent"/>
    <w:qFormat/>
    <w:uiPriority w:val="99"/>
    <w:rPr>
      <w:color w:val="404040"/>
    </w:rPr>
    <w:tblPr>
      <w:tblCellMar>
        <w:top w:w="0" w:type="dxa"/>
        <w:left w:w="0" w:type="dxa"/>
        <w:bottom w:w="0" w:type="dxa"/>
        <w:right w:w="0" w:type="dxa"/>
      </w:tblCellMar>
    </w:tblPr>
  </w:style>
  <w:style w:type="table" w:customStyle="1" w:styleId="198">
    <w:name w:val="Lined - Accent 1"/>
    <w:qFormat/>
    <w:uiPriority w:val="99"/>
    <w:rPr>
      <w:color w:val="404040"/>
    </w:rPr>
    <w:tblPr>
      <w:tblCellMar>
        <w:top w:w="0" w:type="dxa"/>
        <w:left w:w="0" w:type="dxa"/>
        <w:bottom w:w="0" w:type="dxa"/>
        <w:right w:w="0" w:type="dxa"/>
      </w:tblCellMar>
    </w:tblPr>
  </w:style>
  <w:style w:type="table" w:customStyle="1" w:styleId="199">
    <w:name w:val="Lined - Accent 2"/>
    <w:qFormat/>
    <w:uiPriority w:val="99"/>
    <w:rPr>
      <w:color w:val="404040"/>
    </w:rPr>
    <w:tblPr>
      <w:tblCellMar>
        <w:top w:w="0" w:type="dxa"/>
        <w:left w:w="0" w:type="dxa"/>
        <w:bottom w:w="0" w:type="dxa"/>
        <w:right w:w="0" w:type="dxa"/>
      </w:tblCellMar>
    </w:tblPr>
  </w:style>
  <w:style w:type="table" w:customStyle="1" w:styleId="200">
    <w:name w:val="Lined - Accent 3"/>
    <w:qFormat/>
    <w:uiPriority w:val="99"/>
    <w:rPr>
      <w:color w:val="404040"/>
    </w:rPr>
    <w:tblPr>
      <w:tblCellMar>
        <w:top w:w="0" w:type="dxa"/>
        <w:left w:w="0" w:type="dxa"/>
        <w:bottom w:w="0" w:type="dxa"/>
        <w:right w:w="0" w:type="dxa"/>
      </w:tblCellMar>
    </w:tblPr>
  </w:style>
  <w:style w:type="table" w:customStyle="1" w:styleId="201">
    <w:name w:val="Lined - Accent 4"/>
    <w:qFormat/>
    <w:uiPriority w:val="99"/>
    <w:rPr>
      <w:color w:val="404040"/>
    </w:rPr>
    <w:tblPr>
      <w:tblCellMar>
        <w:top w:w="0" w:type="dxa"/>
        <w:left w:w="0" w:type="dxa"/>
        <w:bottom w:w="0" w:type="dxa"/>
        <w:right w:w="0" w:type="dxa"/>
      </w:tblCellMar>
    </w:tblPr>
  </w:style>
  <w:style w:type="table" w:customStyle="1" w:styleId="202">
    <w:name w:val="Lined - Accent 5"/>
    <w:qFormat/>
    <w:uiPriority w:val="99"/>
    <w:rPr>
      <w:color w:val="404040"/>
    </w:rPr>
    <w:tblPr>
      <w:tblCellMar>
        <w:top w:w="0" w:type="dxa"/>
        <w:left w:w="0" w:type="dxa"/>
        <w:bottom w:w="0" w:type="dxa"/>
        <w:right w:w="0" w:type="dxa"/>
      </w:tblCellMar>
    </w:tblPr>
  </w:style>
  <w:style w:type="table" w:customStyle="1" w:styleId="203">
    <w:name w:val="Lined - Accent 6"/>
    <w:qFormat/>
    <w:uiPriority w:val="99"/>
    <w:rPr>
      <w:color w:val="404040"/>
    </w:rPr>
    <w:tblPr>
      <w:tblCellMar>
        <w:top w:w="0" w:type="dxa"/>
        <w:left w:w="0" w:type="dxa"/>
        <w:bottom w:w="0" w:type="dxa"/>
        <w:right w:w="0" w:type="dxa"/>
      </w:tblCellMar>
    </w:tblPr>
  </w:style>
  <w:style w:type="table" w:customStyle="1" w:styleId="204">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5">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6">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7">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8">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9">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10">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11">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2">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3">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4">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5">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6">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7">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8">
    <w:name w:val="Footnote Text Char"/>
    <w:qFormat/>
    <w:uiPriority w:val="99"/>
    <w:rPr>
      <w:sz w:val="18"/>
    </w:rPr>
  </w:style>
  <w:style w:type="character" w:customStyle="1" w:styleId="219">
    <w:name w:val="尾注文本 字符"/>
    <w:link w:val="33"/>
    <w:qFormat/>
    <w:uiPriority w:val="99"/>
    <w:rPr>
      <w:sz w:val="20"/>
    </w:rPr>
  </w:style>
  <w:style w:type="paragraph" w:customStyle="1" w:styleId="220">
    <w:name w:val="TOC 标题1"/>
    <w:unhideWhenUsed/>
    <w:qFormat/>
    <w:uiPriority w:val="39"/>
    <w:rPr>
      <w:rFonts w:ascii="Times New Roman" w:hAnsi="Times New Roman" w:eastAsia="宋体" w:cs="Times New Roman"/>
      <w:lang w:val="en-US" w:eastAsia="zh-CN" w:bidi="ar-SA"/>
    </w:rPr>
  </w:style>
  <w:style w:type="paragraph" w:customStyle="1" w:styleId="221">
    <w:name w:val="正文首行缩进 21"/>
    <w:basedOn w:val="21"/>
    <w:next w:val="1"/>
    <w:link w:val="223"/>
    <w:unhideWhenUsed/>
    <w:qFormat/>
    <w:uiPriority w:val="0"/>
    <w:pPr>
      <w:ind w:firstLine="420"/>
    </w:pPr>
  </w:style>
  <w:style w:type="character" w:customStyle="1" w:styleId="222">
    <w:name w:val="正文文本缩进 字符"/>
    <w:link w:val="21"/>
    <w:qFormat/>
    <w:uiPriority w:val="0"/>
    <w:rPr>
      <w:sz w:val="21"/>
      <w:szCs w:val="22"/>
    </w:rPr>
  </w:style>
  <w:style w:type="character" w:customStyle="1" w:styleId="223">
    <w:name w:val="正文首行缩进 2 Char"/>
    <w:link w:val="221"/>
    <w:qFormat/>
    <w:uiPriority w:val="0"/>
    <w:rPr>
      <w:sz w:val="21"/>
      <w:szCs w:val="22"/>
    </w:rPr>
  </w:style>
  <w:style w:type="character" w:customStyle="1" w:styleId="224">
    <w:name w:val="标题 1 字符"/>
    <w:link w:val="2"/>
    <w:qFormat/>
    <w:uiPriority w:val="0"/>
    <w:rPr>
      <w:rFonts w:ascii="Calibri" w:hAnsi="Calibri" w:eastAsia="楷体_GB2312" w:cs="Times New Roman"/>
      <w:b/>
      <w:sz w:val="44"/>
      <w:szCs w:val="20"/>
    </w:rPr>
  </w:style>
  <w:style w:type="character" w:customStyle="1" w:styleId="225">
    <w:name w:val="标题 2 字符"/>
    <w:link w:val="3"/>
    <w:qFormat/>
    <w:uiPriority w:val="0"/>
    <w:rPr>
      <w:rFonts w:ascii="Cambria" w:hAnsi="Cambria" w:eastAsia="宋体" w:cs="Times New Roman"/>
      <w:b/>
      <w:bCs/>
      <w:sz w:val="32"/>
      <w:szCs w:val="32"/>
    </w:rPr>
  </w:style>
  <w:style w:type="character" w:customStyle="1" w:styleId="226">
    <w:name w:val="标题 3 字符"/>
    <w:link w:val="4"/>
    <w:qFormat/>
    <w:uiPriority w:val="99"/>
    <w:rPr>
      <w:rFonts w:ascii="宋体" w:hAnsi="宋体" w:eastAsia="宋体" w:cs="宋体"/>
      <w:b/>
      <w:bCs/>
      <w:sz w:val="27"/>
      <w:szCs w:val="27"/>
    </w:rPr>
  </w:style>
  <w:style w:type="character" w:customStyle="1" w:styleId="227">
    <w:name w:val="标题 4 字符"/>
    <w:link w:val="5"/>
    <w:qFormat/>
    <w:uiPriority w:val="0"/>
    <w:rPr>
      <w:rFonts w:ascii="Arial" w:hAnsi="Arial" w:eastAsia="黑体"/>
      <w:b/>
      <w:bCs/>
      <w:sz w:val="28"/>
      <w:szCs w:val="28"/>
    </w:rPr>
  </w:style>
  <w:style w:type="character" w:customStyle="1" w:styleId="228">
    <w:name w:val="标题 5 字符"/>
    <w:link w:val="6"/>
    <w:qFormat/>
    <w:uiPriority w:val="0"/>
    <w:rPr>
      <w:rFonts w:ascii="宋体" w:hAnsi="Calibri" w:eastAsia="宋体" w:cs="Times New Roman"/>
      <w:b/>
      <w:spacing w:val="-2"/>
      <w:position w:val="-6"/>
      <w:sz w:val="28"/>
    </w:rPr>
  </w:style>
  <w:style w:type="character" w:customStyle="1" w:styleId="229">
    <w:name w:val="正文缩进 字符"/>
    <w:link w:val="7"/>
    <w:qFormat/>
    <w:uiPriority w:val="0"/>
    <w:rPr>
      <w:rFonts w:ascii="Calibri" w:hAnsi="Calibri" w:eastAsia="楷体_GB2312" w:cs="Times New Roman"/>
      <w:sz w:val="24"/>
      <w:szCs w:val="20"/>
    </w:rPr>
  </w:style>
  <w:style w:type="character" w:customStyle="1" w:styleId="230">
    <w:name w:val="标题 6 字符"/>
    <w:link w:val="8"/>
    <w:qFormat/>
    <w:uiPriority w:val="0"/>
    <w:rPr>
      <w:rFonts w:ascii="Arial" w:hAnsi="Arial" w:eastAsia="黑体" w:cs="Times New Roman"/>
      <w:b/>
      <w:spacing w:val="-2"/>
      <w:position w:val="-6"/>
      <w:sz w:val="24"/>
    </w:rPr>
  </w:style>
  <w:style w:type="character" w:customStyle="1" w:styleId="231">
    <w:name w:val="标题 7 字符"/>
    <w:link w:val="9"/>
    <w:qFormat/>
    <w:uiPriority w:val="0"/>
    <w:rPr>
      <w:rFonts w:ascii="宋体" w:hAnsi="Calibri" w:eastAsia="宋体" w:cs="Times New Roman"/>
      <w:b/>
      <w:spacing w:val="-2"/>
      <w:position w:val="-6"/>
      <w:sz w:val="24"/>
    </w:rPr>
  </w:style>
  <w:style w:type="character" w:customStyle="1" w:styleId="232">
    <w:name w:val="标题 8 字符"/>
    <w:link w:val="10"/>
    <w:qFormat/>
    <w:uiPriority w:val="0"/>
    <w:rPr>
      <w:rFonts w:ascii="Arial" w:hAnsi="Arial" w:eastAsia="黑体" w:cs="Times New Roman"/>
      <w:spacing w:val="-2"/>
      <w:position w:val="-6"/>
      <w:sz w:val="24"/>
    </w:rPr>
  </w:style>
  <w:style w:type="character" w:customStyle="1" w:styleId="233">
    <w:name w:val="标题 9 字符"/>
    <w:link w:val="11"/>
    <w:qFormat/>
    <w:uiPriority w:val="0"/>
    <w:rPr>
      <w:rFonts w:ascii="Arial" w:hAnsi="Arial" w:eastAsia="黑体" w:cs="Times New Roman"/>
      <w:spacing w:val="-2"/>
      <w:position w:val="-6"/>
      <w:sz w:val="28"/>
    </w:rPr>
  </w:style>
  <w:style w:type="paragraph" w:customStyle="1" w:styleId="234">
    <w:name w:val="目录 71"/>
    <w:basedOn w:val="1"/>
    <w:next w:val="1"/>
    <w:qFormat/>
    <w:uiPriority w:val="0"/>
    <w:pPr>
      <w:ind w:left="2520"/>
    </w:pPr>
    <w:rPr>
      <w:rFonts w:eastAsia="楷体_GB2312"/>
      <w:sz w:val="26"/>
      <w:szCs w:val="20"/>
    </w:rPr>
  </w:style>
  <w:style w:type="character" w:customStyle="1" w:styleId="235">
    <w:name w:val="文档结构图 字符"/>
    <w:link w:val="16"/>
    <w:qFormat/>
    <w:uiPriority w:val="0"/>
    <w:rPr>
      <w:rFonts w:ascii="宋体" w:eastAsia="宋体"/>
      <w:sz w:val="18"/>
      <w:szCs w:val="18"/>
    </w:rPr>
  </w:style>
  <w:style w:type="character" w:customStyle="1" w:styleId="236">
    <w:name w:val="批注文字 字符"/>
    <w:link w:val="17"/>
    <w:qFormat/>
    <w:uiPriority w:val="0"/>
    <w:rPr>
      <w:sz w:val="21"/>
      <w:szCs w:val="22"/>
    </w:rPr>
  </w:style>
  <w:style w:type="character" w:customStyle="1" w:styleId="237">
    <w:name w:val="正文文本 字符2"/>
    <w:link w:val="19"/>
    <w:qFormat/>
    <w:uiPriority w:val="0"/>
    <w:rPr>
      <w:rFonts w:ascii="Times New Roman" w:hAnsi="Times New Roman" w:eastAsia="宋体" w:cs="Times New Roman"/>
      <w:sz w:val="21"/>
      <w:szCs w:val="22"/>
    </w:rPr>
  </w:style>
  <w:style w:type="paragraph" w:customStyle="1" w:styleId="238">
    <w:name w:val="目录 51"/>
    <w:basedOn w:val="1"/>
    <w:next w:val="1"/>
    <w:qFormat/>
    <w:uiPriority w:val="0"/>
    <w:pPr>
      <w:ind w:left="1680"/>
    </w:pPr>
    <w:rPr>
      <w:rFonts w:eastAsia="楷体_GB2312"/>
      <w:sz w:val="26"/>
      <w:szCs w:val="20"/>
    </w:rPr>
  </w:style>
  <w:style w:type="paragraph" w:customStyle="1" w:styleId="239">
    <w:name w:val="目录 31"/>
    <w:basedOn w:val="1"/>
    <w:next w:val="1"/>
    <w:link w:val="240"/>
    <w:qFormat/>
    <w:uiPriority w:val="0"/>
    <w:pPr>
      <w:ind w:left="840"/>
    </w:pPr>
    <w:rPr>
      <w:szCs w:val="20"/>
      <w:lang w:eastAsia="en-US"/>
    </w:rPr>
  </w:style>
  <w:style w:type="character" w:customStyle="1" w:styleId="240">
    <w:name w:val="目录 3 Char"/>
    <w:link w:val="239"/>
    <w:qFormat/>
    <w:uiPriority w:val="0"/>
    <w:rPr>
      <w:rFonts w:ascii="Calibri" w:hAnsi="Calibri" w:eastAsia="宋体" w:cs="Times New Roman"/>
      <w:sz w:val="21"/>
    </w:rPr>
  </w:style>
  <w:style w:type="character" w:customStyle="1" w:styleId="241">
    <w:name w:val="纯文本 字符1"/>
    <w:link w:val="28"/>
    <w:qFormat/>
    <w:uiPriority w:val="0"/>
    <w:rPr>
      <w:rFonts w:ascii="宋体" w:hAnsi="Courier New" w:eastAsia="宋体" w:cs="Times New Roman"/>
      <w:sz w:val="21"/>
    </w:rPr>
  </w:style>
  <w:style w:type="paragraph" w:customStyle="1" w:styleId="242">
    <w:name w:val="目录 81"/>
    <w:basedOn w:val="1"/>
    <w:next w:val="1"/>
    <w:qFormat/>
    <w:uiPriority w:val="0"/>
    <w:pPr>
      <w:ind w:left="2940"/>
    </w:pPr>
    <w:rPr>
      <w:rFonts w:eastAsia="楷体_GB2312"/>
      <w:sz w:val="26"/>
      <w:szCs w:val="20"/>
    </w:rPr>
  </w:style>
  <w:style w:type="character" w:customStyle="1" w:styleId="243">
    <w:name w:val="日期 字符"/>
    <w:link w:val="31"/>
    <w:qFormat/>
    <w:uiPriority w:val="0"/>
    <w:rPr>
      <w:rFonts w:ascii="宋体" w:hAnsi="宋体" w:eastAsia="楷体_GB2312" w:cs="Times New Roman"/>
      <w:sz w:val="24"/>
    </w:rPr>
  </w:style>
  <w:style w:type="character" w:customStyle="1" w:styleId="244">
    <w:name w:val="正文文本缩进 2 字符"/>
    <w:link w:val="32"/>
    <w:qFormat/>
    <w:uiPriority w:val="0"/>
    <w:rPr>
      <w:rFonts w:ascii="宋体" w:hAnsi="Calibri" w:eastAsia="宋体" w:cs="Times New Roman"/>
      <w:b/>
      <w:bCs/>
      <w:sz w:val="24"/>
    </w:rPr>
  </w:style>
  <w:style w:type="character" w:customStyle="1" w:styleId="245">
    <w:name w:val="批注框文本 字符"/>
    <w:link w:val="34"/>
    <w:qFormat/>
    <w:uiPriority w:val="0"/>
    <w:rPr>
      <w:sz w:val="18"/>
      <w:szCs w:val="18"/>
    </w:rPr>
  </w:style>
  <w:style w:type="character" w:customStyle="1" w:styleId="246">
    <w:name w:val="页脚 字符"/>
    <w:link w:val="35"/>
    <w:qFormat/>
    <w:uiPriority w:val="99"/>
    <w:rPr>
      <w:sz w:val="18"/>
      <w:szCs w:val="18"/>
    </w:rPr>
  </w:style>
  <w:style w:type="character" w:customStyle="1" w:styleId="247">
    <w:name w:val="页眉 字符"/>
    <w:link w:val="37"/>
    <w:qFormat/>
    <w:uiPriority w:val="99"/>
    <w:rPr>
      <w:sz w:val="18"/>
      <w:szCs w:val="18"/>
    </w:rPr>
  </w:style>
  <w:style w:type="character" w:customStyle="1" w:styleId="248">
    <w:name w:val="签名 字符"/>
    <w:link w:val="38"/>
    <w:qFormat/>
    <w:uiPriority w:val="0"/>
    <w:rPr>
      <w:rFonts w:ascii="Calibri" w:hAnsi="Calibri" w:eastAsia="仿宋_GB2312" w:cs="Times New Roman"/>
      <w:sz w:val="24"/>
    </w:rPr>
  </w:style>
  <w:style w:type="paragraph" w:customStyle="1" w:styleId="249">
    <w:name w:val="目录 11"/>
    <w:basedOn w:val="1"/>
    <w:next w:val="1"/>
    <w:qFormat/>
    <w:uiPriority w:val="0"/>
    <w:pPr>
      <w:jc w:val="left"/>
    </w:pPr>
    <w:rPr>
      <w:rFonts w:eastAsia="楷体_GB2312"/>
      <w:sz w:val="24"/>
      <w:szCs w:val="20"/>
    </w:rPr>
  </w:style>
  <w:style w:type="paragraph" w:customStyle="1" w:styleId="250">
    <w:name w:val="目录 41"/>
    <w:basedOn w:val="1"/>
    <w:next w:val="1"/>
    <w:qFormat/>
    <w:uiPriority w:val="0"/>
    <w:pPr>
      <w:ind w:left="1260"/>
    </w:pPr>
    <w:rPr>
      <w:rFonts w:eastAsia="楷体_GB2312"/>
      <w:sz w:val="26"/>
      <w:szCs w:val="20"/>
    </w:rPr>
  </w:style>
  <w:style w:type="character" w:customStyle="1" w:styleId="251">
    <w:name w:val="脚注文本 字符"/>
    <w:link w:val="44"/>
    <w:qFormat/>
    <w:uiPriority w:val="0"/>
    <w:rPr>
      <w:rFonts w:ascii="Calibri" w:hAnsi="Calibri" w:eastAsia="楷体_GB2312" w:cs="Times New Roman"/>
      <w:sz w:val="18"/>
    </w:rPr>
  </w:style>
  <w:style w:type="paragraph" w:customStyle="1" w:styleId="252">
    <w:name w:val="目录 61"/>
    <w:basedOn w:val="1"/>
    <w:next w:val="1"/>
    <w:qFormat/>
    <w:uiPriority w:val="0"/>
    <w:pPr>
      <w:ind w:left="2100"/>
    </w:pPr>
    <w:rPr>
      <w:rFonts w:eastAsia="楷体_GB2312"/>
      <w:sz w:val="26"/>
      <w:szCs w:val="20"/>
    </w:rPr>
  </w:style>
  <w:style w:type="character" w:customStyle="1" w:styleId="253">
    <w:name w:val="正文文本缩进 3 字符"/>
    <w:link w:val="46"/>
    <w:qFormat/>
    <w:uiPriority w:val="0"/>
    <w:rPr>
      <w:rFonts w:ascii="Calibri" w:hAnsi="Calibri" w:eastAsia="宋体" w:cs="Times New Roman"/>
      <w:sz w:val="24"/>
      <w:szCs w:val="24"/>
    </w:rPr>
  </w:style>
  <w:style w:type="paragraph" w:customStyle="1" w:styleId="254">
    <w:name w:val="目录 21"/>
    <w:basedOn w:val="1"/>
    <w:next w:val="1"/>
    <w:qFormat/>
    <w:uiPriority w:val="0"/>
    <w:pPr>
      <w:ind w:left="420"/>
    </w:pPr>
    <w:rPr>
      <w:rFonts w:eastAsia="楷体_GB2312"/>
      <w:sz w:val="26"/>
      <w:szCs w:val="20"/>
    </w:rPr>
  </w:style>
  <w:style w:type="paragraph" w:customStyle="1" w:styleId="255">
    <w:name w:val="目录 91"/>
    <w:basedOn w:val="1"/>
    <w:next w:val="1"/>
    <w:qFormat/>
    <w:uiPriority w:val="0"/>
    <w:pPr>
      <w:ind w:left="3360"/>
    </w:pPr>
    <w:rPr>
      <w:rFonts w:eastAsia="楷体_GB2312"/>
      <w:sz w:val="26"/>
      <w:szCs w:val="20"/>
    </w:rPr>
  </w:style>
  <w:style w:type="character" w:customStyle="1" w:styleId="256">
    <w:name w:val="HTML 预设格式 字符"/>
    <w:qFormat/>
    <w:uiPriority w:val="0"/>
    <w:rPr>
      <w:rFonts w:ascii="黑体" w:hAnsi="Courier New" w:eastAsia="黑体" w:cs="楷体_GB2312"/>
    </w:rPr>
  </w:style>
  <w:style w:type="character" w:customStyle="1" w:styleId="257">
    <w:name w:val="普通(网站) 字符"/>
    <w:link w:val="53"/>
    <w:qFormat/>
    <w:uiPriority w:val="0"/>
    <w:rPr>
      <w:rFonts w:ascii="Calibri" w:hAnsi="Calibri" w:eastAsia="宋体" w:cs="Times New Roman"/>
      <w:sz w:val="24"/>
    </w:rPr>
  </w:style>
  <w:style w:type="character" w:customStyle="1" w:styleId="258">
    <w:name w:val="批注主题 字符"/>
    <w:link w:val="56"/>
    <w:semiHidden/>
    <w:qFormat/>
    <w:uiPriority w:val="99"/>
    <w:rPr>
      <w:b/>
      <w:bCs/>
      <w:sz w:val="21"/>
      <w:szCs w:val="22"/>
    </w:rPr>
  </w:style>
  <w:style w:type="paragraph" w:customStyle="1" w:styleId="259">
    <w:name w:val="正文首行缩进1"/>
    <w:basedOn w:val="19"/>
    <w:link w:val="260"/>
    <w:qFormat/>
    <w:uiPriority w:val="0"/>
    <w:pPr>
      <w:ind w:firstLine="420"/>
    </w:pPr>
    <w:rPr>
      <w:rFonts w:ascii="Calibri" w:hAnsi="Calibri" w:eastAsia="楷体_GB2312"/>
      <w:sz w:val="26"/>
      <w:szCs w:val="20"/>
    </w:rPr>
  </w:style>
  <w:style w:type="character" w:customStyle="1" w:styleId="260">
    <w:name w:val="正文首行缩进 Char"/>
    <w:link w:val="259"/>
    <w:qFormat/>
    <w:uiPriority w:val="0"/>
    <w:rPr>
      <w:rFonts w:ascii="Calibri" w:hAnsi="Calibri" w:eastAsia="楷体_GB2312" w:cs="Times New Roman"/>
      <w:sz w:val="26"/>
      <w:szCs w:val="22"/>
    </w:rPr>
  </w:style>
  <w:style w:type="character" w:customStyle="1" w:styleId="261">
    <w:name w:val="已访问的超链接1"/>
    <w:qFormat/>
    <w:uiPriority w:val="99"/>
    <w:rPr>
      <w:color w:val="333333"/>
      <w:u w:val="none"/>
    </w:rPr>
  </w:style>
  <w:style w:type="paragraph" w:customStyle="1" w:styleId="262">
    <w:name w:val="正文缩进1"/>
    <w:basedOn w:val="1"/>
    <w:qFormat/>
    <w:uiPriority w:val="0"/>
    <w:pPr>
      <w:widowControl/>
      <w:ind w:firstLine="420"/>
      <w:jc w:val="left"/>
    </w:pPr>
  </w:style>
  <w:style w:type="character" w:customStyle="1" w:styleId="263">
    <w:name w:val="NormalCharacter1"/>
    <w:qFormat/>
    <w:uiPriority w:val="0"/>
    <w:rPr>
      <w:rFonts w:ascii="Times New Roman" w:hAnsi="Times New Roman" w:eastAsia="宋体" w:cs="Times New Roman"/>
    </w:rPr>
  </w:style>
  <w:style w:type="paragraph" w:customStyle="1" w:styleId="264">
    <w:name w:val="列出段落1"/>
    <w:basedOn w:val="1"/>
    <w:qFormat/>
    <w:uiPriority w:val="0"/>
    <w:pPr>
      <w:ind w:firstLine="420"/>
    </w:pPr>
    <w:rPr>
      <w:rFonts w:ascii="Times New Roman" w:hAnsi="Times New Roman"/>
    </w:rPr>
  </w:style>
  <w:style w:type="table" w:customStyle="1" w:styleId="265">
    <w:name w:val="网格型1"/>
    <w:basedOn w:val="58"/>
    <w:qFormat/>
    <w:uiPriority w:val="0"/>
    <w:pPr>
      <w:widowControl w:val="0"/>
      <w:jc w:val="both"/>
    </w:pPr>
  </w:style>
  <w:style w:type="table" w:customStyle="1" w:styleId="266">
    <w:name w:val="网格型2"/>
    <w:basedOn w:val="58"/>
    <w:qFormat/>
    <w:uiPriority w:val="0"/>
    <w:pPr>
      <w:widowControl w:val="0"/>
      <w:jc w:val="both"/>
    </w:pPr>
  </w:style>
  <w:style w:type="character" w:customStyle="1" w:styleId="267">
    <w:name w:val="正文文本 Char"/>
    <w:qFormat/>
    <w:uiPriority w:val="0"/>
    <w:rPr>
      <w:rFonts w:ascii="楷体_GB2312" w:eastAsia="楷体_GB2312"/>
      <w:sz w:val="28"/>
    </w:rPr>
  </w:style>
  <w:style w:type="paragraph" w:customStyle="1" w:styleId="268">
    <w:name w:val="style4"/>
    <w:basedOn w:val="1"/>
    <w:next w:val="269"/>
    <w:qFormat/>
    <w:uiPriority w:val="99"/>
    <w:pPr>
      <w:widowControl/>
      <w:spacing w:before="280" w:after="280"/>
    </w:pPr>
    <w:rPr>
      <w:rFonts w:ascii="宋体" w:eastAsia="楷体_GB2312"/>
      <w:sz w:val="18"/>
      <w:szCs w:val="20"/>
    </w:rPr>
  </w:style>
  <w:style w:type="paragraph" w:customStyle="1" w:styleId="269">
    <w:name w:val="2"/>
    <w:next w:val="1"/>
    <w:qFormat/>
    <w:uiPriority w:val="99"/>
    <w:pPr>
      <w:widowControl w:val="0"/>
      <w:jc w:val="both"/>
    </w:pPr>
    <w:rPr>
      <w:rFonts w:ascii="Times New Roman" w:hAnsi="Times New Roman" w:eastAsia="宋体" w:cs="Times New Roman"/>
      <w:sz w:val="21"/>
      <w:szCs w:val="22"/>
      <w:lang w:val="en-US" w:eastAsia="zh-CN" w:bidi="ar-SA"/>
    </w:rPr>
  </w:style>
  <w:style w:type="table" w:customStyle="1" w:styleId="270">
    <w:name w:val="网格型3"/>
    <w:basedOn w:val="58"/>
    <w:qFormat/>
    <w:uiPriority w:val="0"/>
    <w:pPr>
      <w:widowControl w:val="0"/>
      <w:jc w:val="both"/>
    </w:pPr>
    <w:rPr>
      <w:rFonts w:ascii="Calibri" w:hAnsi="Calibri"/>
      <w:sz w:val="21"/>
      <w:szCs w:val="22"/>
    </w:rPr>
  </w:style>
  <w:style w:type="character" w:customStyle="1" w:styleId="271">
    <w:name w:val="正文文本首行缩进 字符"/>
    <w:qFormat/>
    <w:uiPriority w:val="0"/>
    <w:rPr>
      <w:rFonts w:eastAsia="楷体_GB2312"/>
      <w:sz w:val="26"/>
    </w:rPr>
  </w:style>
  <w:style w:type="character" w:customStyle="1" w:styleId="272">
    <w:name w:val="Char Char4"/>
    <w:qFormat/>
    <w:uiPriority w:val="0"/>
    <w:rPr>
      <w:rFonts w:ascii="方正仿宋简体" w:hAnsi="创艺简仿宋" w:eastAsia="方正仿宋简体"/>
      <w:sz w:val="24"/>
      <w:lang w:val="en-US" w:eastAsia="zh-CN" w:bidi="ar-SA"/>
    </w:rPr>
  </w:style>
  <w:style w:type="character" w:customStyle="1" w:styleId="273">
    <w:name w:val="state"/>
    <w:qFormat/>
    <w:uiPriority w:val="0"/>
    <w:rPr>
      <w:b/>
      <w:color w:val="FFFFFF"/>
      <w:sz w:val="19"/>
      <w:szCs w:val="19"/>
    </w:rPr>
  </w:style>
  <w:style w:type="character" w:customStyle="1" w:styleId="274">
    <w:name w:val="bds_more6"/>
    <w:qFormat/>
    <w:uiPriority w:val="0"/>
  </w:style>
  <w:style w:type="character" w:customStyle="1" w:styleId="275">
    <w:name w:val="hilite"/>
    <w:qFormat/>
    <w:uiPriority w:val="0"/>
    <w:rPr>
      <w:color w:val="FFFFFF"/>
      <w:shd w:val="clear" w:color="auto" w:fill="776666"/>
    </w:rPr>
  </w:style>
  <w:style w:type="character" w:customStyle="1" w:styleId="276">
    <w:name w:val="bds_nopic"/>
    <w:qFormat/>
    <w:uiPriority w:val="0"/>
  </w:style>
  <w:style w:type="character" w:customStyle="1" w:styleId="277">
    <w:name w:val="Char Char2"/>
    <w:qFormat/>
    <w:uiPriority w:val="0"/>
    <w:rPr>
      <w:rFonts w:ascii="宋体" w:hAnsi="宋体" w:eastAsia="楷体_GB2312"/>
      <w:b/>
      <w:sz w:val="26"/>
      <w:lang w:val="en-US" w:eastAsia="zh-CN" w:bidi="ar-SA"/>
    </w:rPr>
  </w:style>
  <w:style w:type="character" w:customStyle="1" w:styleId="278">
    <w:name w:val="hover61"/>
    <w:qFormat/>
    <w:uiPriority w:val="0"/>
    <w:rPr>
      <w:shd w:val="clear" w:color="auto" w:fill="FF0000"/>
    </w:rPr>
  </w:style>
  <w:style w:type="character" w:customStyle="1" w:styleId="279">
    <w:name w:val="font51"/>
    <w:qFormat/>
    <w:uiPriority w:val="99"/>
    <w:rPr>
      <w:rFonts w:hint="eastAsia" w:ascii="宋体" w:hAnsi="宋体" w:eastAsia="宋体" w:cs="宋体"/>
      <w:color w:val="FF0000"/>
      <w:sz w:val="20"/>
      <w:szCs w:val="20"/>
      <w:u w:val="none"/>
    </w:rPr>
  </w:style>
  <w:style w:type="character" w:customStyle="1" w:styleId="280">
    <w:name w:val="grid"/>
    <w:qFormat/>
    <w:uiPriority w:val="0"/>
  </w:style>
  <w:style w:type="character" w:customStyle="1" w:styleId="281">
    <w:name w:val="bds_more7"/>
    <w:qFormat/>
    <w:uiPriority w:val="0"/>
  </w:style>
  <w:style w:type="character" w:customStyle="1" w:styleId="282">
    <w:name w:val="bds_more8"/>
    <w:qFormat/>
    <w:uiPriority w:val="0"/>
    <w:rPr>
      <w:rFonts w:hint="eastAsia" w:ascii="宋体" w:hAnsi="宋体" w:eastAsia="宋体" w:cs="宋体"/>
    </w:rPr>
  </w:style>
  <w:style w:type="character" w:customStyle="1" w:styleId="283">
    <w:name w:val="bds_more4"/>
    <w:qFormat/>
    <w:uiPriority w:val="0"/>
    <w:rPr>
      <w:rFonts w:hint="eastAsia" w:ascii="宋体" w:hAnsi="宋体" w:eastAsia="宋体" w:cs="宋体"/>
    </w:rPr>
  </w:style>
  <w:style w:type="character" w:customStyle="1" w:styleId="284">
    <w:name w:val="bds_nopic1"/>
    <w:qFormat/>
    <w:uiPriority w:val="0"/>
  </w:style>
  <w:style w:type="character" w:customStyle="1" w:styleId="285">
    <w:name w:val="hilite6"/>
    <w:qFormat/>
    <w:uiPriority w:val="0"/>
    <w:rPr>
      <w:color w:val="FFFFFF"/>
      <w:shd w:val="clear" w:color="auto" w:fill="776666"/>
    </w:rPr>
  </w:style>
  <w:style w:type="character" w:customStyle="1" w:styleId="286">
    <w:name w:val="正文缩进2格 Char Char"/>
    <w:link w:val="287"/>
    <w:qFormat/>
    <w:uiPriority w:val="0"/>
    <w:rPr>
      <w:rFonts w:ascii="仿宋_GB2312" w:hAnsi="宋体" w:eastAsia="仿宋_GB2312"/>
      <w:sz w:val="31"/>
      <w:szCs w:val="28"/>
    </w:rPr>
  </w:style>
  <w:style w:type="paragraph" w:customStyle="1" w:styleId="287">
    <w:name w:val="正文缩进2格"/>
    <w:basedOn w:val="1"/>
    <w:link w:val="286"/>
    <w:qFormat/>
    <w:uiPriority w:val="0"/>
    <w:pPr>
      <w:spacing w:line="600" w:lineRule="exact"/>
      <w:ind w:firstLine="639"/>
    </w:pPr>
    <w:rPr>
      <w:rFonts w:ascii="仿宋_GB2312" w:hAnsi="宋体" w:eastAsia="仿宋_GB2312"/>
      <w:sz w:val="31"/>
      <w:szCs w:val="28"/>
      <w:lang w:eastAsia="en-US"/>
    </w:rPr>
  </w:style>
  <w:style w:type="character" w:customStyle="1" w:styleId="288">
    <w:name w:val="grid2"/>
    <w:qFormat/>
    <w:uiPriority w:val="0"/>
  </w:style>
  <w:style w:type="character" w:customStyle="1" w:styleId="289">
    <w:name w:val="other"/>
    <w:qFormat/>
    <w:uiPriority w:val="0"/>
  </w:style>
  <w:style w:type="character" w:customStyle="1" w:styleId="290">
    <w:name w:val="font01"/>
    <w:qFormat/>
    <w:uiPriority w:val="0"/>
    <w:rPr>
      <w:rFonts w:hint="eastAsia" w:ascii="宋体" w:hAnsi="宋体" w:eastAsia="宋体" w:cs="宋体"/>
      <w:b/>
      <w:color w:val="000000"/>
      <w:sz w:val="20"/>
      <w:szCs w:val="20"/>
      <w:u w:val="none"/>
    </w:rPr>
  </w:style>
  <w:style w:type="character" w:customStyle="1" w:styleId="291">
    <w:name w:val="noused"/>
    <w:qFormat/>
    <w:uiPriority w:val="0"/>
    <w:rPr>
      <w:b/>
      <w:color w:val="FFFFFF"/>
      <w:sz w:val="21"/>
      <w:szCs w:val="21"/>
    </w:rPr>
  </w:style>
  <w:style w:type="character" w:customStyle="1" w:styleId="292">
    <w:name w:val="active8"/>
    <w:qFormat/>
    <w:uiPriority w:val="0"/>
    <w:rPr>
      <w:color w:val="00FF00"/>
      <w:shd w:val="clear" w:color="auto" w:fill="000000"/>
    </w:rPr>
  </w:style>
  <w:style w:type="character" w:customStyle="1" w:styleId="293">
    <w:name w:val="font61"/>
    <w:qFormat/>
    <w:uiPriority w:val="0"/>
    <w:rPr>
      <w:rFonts w:hint="eastAsia" w:ascii="宋体" w:hAnsi="宋体" w:eastAsia="宋体" w:cs="宋体"/>
      <w:color w:val="000000"/>
      <w:sz w:val="20"/>
      <w:szCs w:val="20"/>
      <w:u w:val="none"/>
    </w:rPr>
  </w:style>
  <w:style w:type="character" w:customStyle="1" w:styleId="294">
    <w:name w:val="bds_more5"/>
    <w:qFormat/>
    <w:uiPriority w:val="0"/>
  </w:style>
  <w:style w:type="character" w:customStyle="1" w:styleId="295">
    <w:name w:val="bds_nopic2"/>
    <w:qFormat/>
    <w:uiPriority w:val="0"/>
  </w:style>
  <w:style w:type="character" w:customStyle="1" w:styleId="296">
    <w:name w:val="active"/>
    <w:qFormat/>
    <w:uiPriority w:val="0"/>
    <w:rPr>
      <w:color w:val="00FF00"/>
      <w:shd w:val="clear" w:color="auto" w:fill="000000"/>
    </w:rPr>
  </w:style>
  <w:style w:type="character" w:customStyle="1" w:styleId="297">
    <w:name w:val="列出段落 Char"/>
    <w:link w:val="298"/>
    <w:qFormat/>
    <w:uiPriority w:val="0"/>
    <w:rPr>
      <w:sz w:val="21"/>
      <w:szCs w:val="24"/>
    </w:rPr>
  </w:style>
  <w:style w:type="paragraph" w:customStyle="1" w:styleId="298">
    <w:name w:val="列出段落2"/>
    <w:basedOn w:val="1"/>
    <w:link w:val="297"/>
    <w:qFormat/>
    <w:uiPriority w:val="0"/>
    <w:pPr>
      <w:ind w:firstLine="420"/>
    </w:pPr>
    <w:rPr>
      <w:rFonts w:ascii="Times New Roman" w:hAnsi="Times New Roman"/>
      <w:szCs w:val="24"/>
      <w:lang w:eastAsia="en-US"/>
    </w:rPr>
  </w:style>
  <w:style w:type="character" w:customStyle="1" w:styleId="299">
    <w:name w:val="font41"/>
    <w:qFormat/>
    <w:uiPriority w:val="0"/>
    <w:rPr>
      <w:rFonts w:hint="eastAsia" w:ascii="宋体" w:hAnsi="宋体" w:eastAsia="宋体" w:cs="宋体"/>
      <w:color w:val="000000"/>
      <w:sz w:val="20"/>
      <w:szCs w:val="20"/>
      <w:u w:val="none"/>
    </w:rPr>
  </w:style>
  <w:style w:type="character" w:customStyle="1" w:styleId="300">
    <w:name w:val="font11"/>
    <w:qFormat/>
    <w:uiPriority w:val="0"/>
    <w:rPr>
      <w:rFonts w:ascii="宋体" w:hAnsi="宋体" w:eastAsia="宋体"/>
      <w:color w:val="000000"/>
      <w:sz w:val="28"/>
      <w:u w:val="none"/>
    </w:rPr>
  </w:style>
  <w:style w:type="character" w:customStyle="1" w:styleId="301">
    <w:name w:val="font81"/>
    <w:qFormat/>
    <w:uiPriority w:val="0"/>
    <w:rPr>
      <w:rFonts w:ascii="宋体" w:hAnsi="宋体" w:eastAsia="宋体"/>
      <w:b/>
      <w:color w:val="000000"/>
      <w:sz w:val="18"/>
      <w:u w:val="none"/>
    </w:rPr>
  </w:style>
  <w:style w:type="character" w:customStyle="1" w:styleId="302">
    <w:name w:val="font71"/>
    <w:qFormat/>
    <w:uiPriority w:val="0"/>
    <w:rPr>
      <w:rFonts w:hint="eastAsia" w:ascii="宋体" w:hAnsi="宋体" w:eastAsia="宋体" w:cs="宋体"/>
      <w:color w:val="000000"/>
      <w:sz w:val="20"/>
      <w:szCs w:val="20"/>
      <w:u w:val="none"/>
      <w:vertAlign w:val="superscript"/>
    </w:rPr>
  </w:style>
  <w:style w:type="character" w:customStyle="1" w:styleId="303">
    <w:name w:val="正文文本缩进 Char1"/>
    <w:qFormat/>
    <w:uiPriority w:val="0"/>
    <w:rPr>
      <w:rFonts w:eastAsia="楷体_GB2312"/>
      <w:sz w:val="26"/>
    </w:rPr>
  </w:style>
  <w:style w:type="character" w:customStyle="1" w:styleId="304">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5">
    <w:name w:val="日期 Char1"/>
    <w:qFormat/>
    <w:uiPriority w:val="0"/>
    <w:rPr>
      <w:rFonts w:eastAsia="楷体_GB2312"/>
      <w:sz w:val="26"/>
      <w:szCs w:val="26"/>
    </w:rPr>
  </w:style>
  <w:style w:type="character" w:customStyle="1" w:styleId="306">
    <w:name w:val="Balloon Text Char"/>
    <w:semiHidden/>
    <w:qFormat/>
    <w:uiPriority w:val="0"/>
    <w:rPr>
      <w:rFonts w:eastAsia="宋体"/>
      <w:sz w:val="18"/>
      <w:lang w:val="en-US" w:eastAsia="zh-CN"/>
    </w:rPr>
  </w:style>
  <w:style w:type="character" w:customStyle="1" w:styleId="307">
    <w:name w:val="font21"/>
    <w:qFormat/>
    <w:uiPriority w:val="0"/>
    <w:rPr>
      <w:rFonts w:hint="eastAsia" w:ascii="宋体" w:hAnsi="宋体" w:eastAsia="宋体" w:cs="宋体"/>
      <w:b/>
      <w:color w:val="000000"/>
      <w:sz w:val="20"/>
      <w:szCs w:val="20"/>
      <w:u w:val="none"/>
    </w:rPr>
  </w:style>
  <w:style w:type="character" w:customStyle="1" w:styleId="308">
    <w:name w:val="font31"/>
    <w:qFormat/>
    <w:uiPriority w:val="0"/>
    <w:rPr>
      <w:rFonts w:ascii="宋体" w:hAnsi="宋体" w:eastAsia="宋体"/>
      <w:color w:val="000000"/>
      <w:sz w:val="20"/>
      <w:u w:val="none"/>
    </w:rPr>
  </w:style>
  <w:style w:type="character" w:customStyle="1" w:styleId="309">
    <w:name w:val="Body Text Indent Char"/>
    <w:qFormat/>
    <w:uiPriority w:val="0"/>
    <w:rPr>
      <w:rFonts w:ascii="方正仿宋简体" w:hAnsi="创艺简仿宋" w:eastAsia="方正仿宋简体"/>
      <w:sz w:val="24"/>
    </w:rPr>
  </w:style>
  <w:style w:type="character" w:customStyle="1" w:styleId="310">
    <w:name w:val="Header Char1"/>
    <w:qFormat/>
    <w:uiPriority w:val="0"/>
    <w:rPr>
      <w:rFonts w:eastAsia="楷体_GB2312"/>
      <w:sz w:val="18"/>
    </w:rPr>
  </w:style>
  <w:style w:type="character" w:customStyle="1" w:styleId="311">
    <w:name w:val="Header Char"/>
    <w:qFormat/>
    <w:uiPriority w:val="0"/>
    <w:rPr>
      <w:sz w:val="18"/>
    </w:rPr>
  </w:style>
  <w:style w:type="character" w:customStyle="1" w:styleId="312">
    <w:name w:val="正文文本缩进 Char2"/>
    <w:qFormat/>
    <w:uiPriority w:val="0"/>
    <w:rPr>
      <w:rFonts w:eastAsia="楷体_GB2312"/>
      <w:sz w:val="26"/>
      <w:szCs w:val="26"/>
    </w:rPr>
  </w:style>
  <w:style w:type="paragraph" w:customStyle="1" w:styleId="313">
    <w:name w:val="p0"/>
    <w:basedOn w:val="1"/>
    <w:qFormat/>
    <w:uiPriority w:val="0"/>
    <w:pPr>
      <w:widowControl/>
    </w:pPr>
    <w:rPr>
      <w:szCs w:val="21"/>
    </w:rPr>
  </w:style>
  <w:style w:type="paragraph" w:customStyle="1" w:styleId="314">
    <w:name w:val="纯文本1"/>
    <w:basedOn w:val="1"/>
    <w:qFormat/>
    <w:uiPriority w:val="0"/>
    <w:rPr>
      <w:rFonts w:ascii="宋体" w:hAnsi="Courier New" w:eastAsia="楷体_GB2312"/>
      <w:sz w:val="28"/>
      <w:szCs w:val="20"/>
    </w:rPr>
  </w:style>
  <w:style w:type="paragraph" w:customStyle="1" w:styleId="315">
    <w:name w:val="Char Char1 Char Char Char Char"/>
    <w:basedOn w:val="16"/>
    <w:qFormat/>
    <w:uiPriority w:val="0"/>
    <w:pPr>
      <w:shd w:val="clear" w:color="auto" w:fill="000080"/>
      <w:spacing w:line="360" w:lineRule="auto"/>
    </w:pPr>
    <w:rPr>
      <w:rFonts w:ascii="Tahoma" w:hAnsi="Tahoma"/>
      <w:sz w:val="24"/>
      <w:szCs w:val="24"/>
    </w:rPr>
  </w:style>
  <w:style w:type="paragraph" w:customStyle="1" w:styleId="316">
    <w:name w:val="Char Char1 Char Char Char Char Char Char Char"/>
    <w:basedOn w:val="1"/>
    <w:qFormat/>
    <w:uiPriority w:val="0"/>
    <w:rPr>
      <w:rFonts w:ascii="Tahoma" w:hAnsi="Tahoma" w:eastAsia="楷体_GB2312"/>
      <w:sz w:val="24"/>
      <w:szCs w:val="20"/>
    </w:rPr>
  </w:style>
  <w:style w:type="paragraph" w:customStyle="1" w:styleId="317">
    <w:name w:val="Char"/>
    <w:basedOn w:val="1"/>
    <w:qFormat/>
    <w:uiPriority w:val="0"/>
    <w:pPr>
      <w:widowControl/>
      <w:spacing w:after="160" w:line="240" w:lineRule="exact"/>
      <w:jc w:val="left"/>
    </w:pPr>
    <w:rPr>
      <w:rFonts w:ascii="Verdana" w:hAnsi="Verdana"/>
      <w:szCs w:val="20"/>
      <w:lang w:eastAsia="en-US"/>
    </w:rPr>
  </w:style>
  <w:style w:type="paragraph" w:customStyle="1" w:styleId="318">
    <w:name w:val="Char1"/>
    <w:basedOn w:val="1"/>
    <w:qFormat/>
    <w:uiPriority w:val="0"/>
    <w:rPr>
      <w:rFonts w:ascii="Tahoma" w:hAnsi="Tahoma"/>
      <w:sz w:val="24"/>
      <w:szCs w:val="20"/>
    </w:rPr>
  </w:style>
  <w:style w:type="paragraph" w:customStyle="1" w:styleId="319">
    <w:name w:val="图"/>
    <w:basedOn w:val="1"/>
    <w:qFormat/>
    <w:uiPriority w:val="0"/>
    <w:pPr>
      <w:keepNext/>
      <w:spacing w:before="60" w:after="60" w:line="300" w:lineRule="auto"/>
      <w:jc w:val="center"/>
    </w:pPr>
    <w:rPr>
      <w:spacing w:val="20"/>
      <w:sz w:val="24"/>
      <w:szCs w:val="20"/>
    </w:rPr>
  </w:style>
  <w:style w:type="paragraph" w:customStyle="1" w:styleId="320">
    <w:name w:val="纯文本2"/>
    <w:basedOn w:val="1"/>
    <w:qFormat/>
    <w:uiPriority w:val="0"/>
    <w:rPr>
      <w:rFonts w:ascii="宋体" w:hAnsi="Courier New" w:eastAsia="楷体_GB2312"/>
      <w:sz w:val="26"/>
      <w:szCs w:val="20"/>
    </w:rPr>
  </w:style>
  <w:style w:type="paragraph" w:customStyle="1" w:styleId="321">
    <w:name w:val="Table Paragraph"/>
    <w:basedOn w:val="1"/>
    <w:qFormat/>
    <w:uiPriority w:val="1"/>
    <w:rPr>
      <w:rFonts w:ascii="仿宋" w:hAnsi="仿宋" w:eastAsia="仿宋" w:cs="仿宋"/>
      <w:lang w:val="zh-CN" w:bidi="zh-CN"/>
    </w:rPr>
  </w:style>
  <w:style w:type="paragraph" w:customStyle="1" w:styleId="322">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3">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4">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5">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6">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7">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8">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szCs w:val="20"/>
    </w:rPr>
  </w:style>
  <w:style w:type="paragraph" w:customStyle="1" w:styleId="329">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30">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31">
    <w:name w:val="font1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2">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color w:val="000000"/>
      <w:sz w:val="20"/>
      <w:szCs w:val="20"/>
    </w:rPr>
  </w:style>
  <w:style w:type="paragraph" w:customStyle="1" w:styleId="333">
    <w:name w:val="font2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4">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b/>
      <w:bCs/>
      <w:sz w:val="20"/>
      <w:szCs w:val="20"/>
    </w:rPr>
  </w:style>
  <w:style w:type="paragraph" w:customStyle="1" w:styleId="335">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36">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7">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8">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39">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0">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1">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2">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3">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4">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5">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6">
    <w:name w:val="font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7">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8">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9">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0">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1">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52">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53">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54">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55">
    <w:name w:val="列出段落11"/>
    <w:basedOn w:val="1"/>
    <w:qFormat/>
    <w:uiPriority w:val="34"/>
    <w:pPr>
      <w:ind w:firstLine="420"/>
    </w:pPr>
    <w:rPr>
      <w:sz w:val="26"/>
      <w:szCs w:val="26"/>
    </w:rPr>
  </w:style>
  <w:style w:type="paragraph" w:customStyle="1" w:styleId="356">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7">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szCs w:val="20"/>
    </w:rPr>
  </w:style>
  <w:style w:type="paragraph" w:customStyle="1" w:styleId="358">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59">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szCs w:val="20"/>
    </w:rPr>
  </w:style>
  <w:style w:type="paragraph" w:customStyle="1" w:styleId="360">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1">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2">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3">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4">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65">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66">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7">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68">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9">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sz w:val="20"/>
      <w:szCs w:val="20"/>
    </w:rPr>
  </w:style>
  <w:style w:type="paragraph" w:customStyle="1" w:styleId="370">
    <w:name w:val="正文1"/>
    <w:qFormat/>
    <w:uiPriority w:val="0"/>
    <w:pPr>
      <w:spacing w:line="240" w:lineRule="atLeast"/>
      <w:ind w:firstLine="200"/>
      <w:jc w:val="both"/>
    </w:pPr>
    <w:rPr>
      <w:rFonts w:ascii="Calibri" w:hAnsi="Calibri" w:eastAsia="宋体" w:cs="Times New Roman"/>
      <w:sz w:val="21"/>
      <w:szCs w:val="21"/>
      <w:lang w:val="en-US" w:eastAsia="zh-CN" w:bidi="ar-SA"/>
    </w:rPr>
  </w:style>
  <w:style w:type="paragraph" w:customStyle="1" w:styleId="371">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2">
    <w:name w:val="font1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3">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74">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color w:val="000000"/>
      <w:sz w:val="20"/>
      <w:szCs w:val="20"/>
    </w:rPr>
  </w:style>
  <w:style w:type="paragraph" w:customStyle="1" w:styleId="375">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76">
    <w:name w:val="_Style 7"/>
    <w:basedOn w:val="1"/>
    <w:qFormat/>
    <w:uiPriority w:val="0"/>
    <w:pPr>
      <w:ind w:firstLine="420"/>
    </w:pPr>
    <w:rPr>
      <w:sz w:val="26"/>
      <w:szCs w:val="26"/>
    </w:rPr>
  </w:style>
  <w:style w:type="paragraph" w:customStyle="1" w:styleId="377">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8">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79">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0">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color w:val="000000"/>
      <w:sz w:val="20"/>
      <w:szCs w:val="20"/>
    </w:rPr>
  </w:style>
  <w:style w:type="paragraph" w:customStyle="1" w:styleId="381">
    <w:name w:val="xl99"/>
    <w:basedOn w:val="1"/>
    <w:qFormat/>
    <w:uiPriority w:val="0"/>
    <w:pPr>
      <w:widowControl/>
      <w:spacing w:before="100" w:beforeAutospacing="1" w:after="100" w:afterAutospacing="1"/>
      <w:jc w:val="center"/>
    </w:pPr>
    <w:rPr>
      <w:rFonts w:ascii="Courier New" w:hAnsi="Courier New" w:cs="Courier New"/>
      <w:color w:val="000000"/>
      <w:sz w:val="20"/>
      <w:szCs w:val="20"/>
    </w:rPr>
  </w:style>
  <w:style w:type="paragraph" w:customStyle="1" w:styleId="382">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3">
    <w:name w:val="_Style 26"/>
    <w:next w:val="1"/>
    <w:qFormat/>
    <w:uiPriority w:val="99"/>
    <w:pPr>
      <w:widowControl w:val="0"/>
      <w:jc w:val="both"/>
    </w:pPr>
    <w:rPr>
      <w:rFonts w:ascii="Calibri" w:hAnsi="Calibri" w:eastAsia="楷体_GB2312" w:cs="Times New Roman"/>
      <w:sz w:val="26"/>
      <w:szCs w:val="26"/>
      <w:lang w:val="en-US" w:eastAsia="zh-CN" w:bidi="ar-SA"/>
    </w:rPr>
  </w:style>
  <w:style w:type="paragraph" w:customStyle="1" w:styleId="384">
    <w:name w:val="样式 标题 1 + 宋体 段前: 0 磅 段后: 0 磅 行距: 单倍行距"/>
    <w:basedOn w:val="2"/>
    <w:next w:val="1"/>
    <w:qFormat/>
    <w:uiPriority w:val="0"/>
    <w:pPr>
      <w:spacing w:line="240" w:lineRule="auto"/>
      <w:jc w:val="center"/>
    </w:pPr>
    <w:rPr>
      <w:rFonts w:ascii="仿宋_GB2312" w:hAnsi="宋体" w:eastAsia="仿宋_GB2312" w:cs="宋体"/>
      <w:bCs/>
      <w:szCs w:val="44"/>
    </w:rPr>
  </w:style>
  <w:style w:type="paragraph" w:customStyle="1" w:styleId="385">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6">
    <w:name w:val="font20"/>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87">
    <w:name w:val="font13"/>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8">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89">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90">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1">
    <w:name w:val="font1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2">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3">
    <w:name w:val="xl158"/>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94">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5">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6">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7">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8">
    <w:name w:val="font1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9">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b/>
      <w:bCs/>
      <w:sz w:val="20"/>
      <w:szCs w:val="20"/>
    </w:rPr>
  </w:style>
  <w:style w:type="paragraph" w:customStyle="1" w:styleId="400">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1">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2">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403">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404">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405">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6">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407">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table" w:customStyle="1" w:styleId="408">
    <w:name w:val="网格型11"/>
    <w:basedOn w:val="58"/>
    <w:qFormat/>
    <w:uiPriority w:val="0"/>
    <w:pPr>
      <w:widowControl w:val="0"/>
      <w:jc w:val="both"/>
    </w:pPr>
    <w:rPr>
      <w:rFonts w:ascii="Calibri" w:hAnsi="Calibri"/>
      <w:sz w:val="21"/>
      <w:szCs w:val="22"/>
    </w:rPr>
  </w:style>
  <w:style w:type="character" w:customStyle="1" w:styleId="409">
    <w:name w:val="纯文本 字符"/>
    <w:qFormat/>
    <w:uiPriority w:val="0"/>
    <w:rPr>
      <w:rFonts w:ascii="宋体" w:hAnsi="Courier New" w:eastAsia="楷体_GB2312"/>
      <w:sz w:val="26"/>
      <w:lang w:val="en-US" w:eastAsia="zh-CN" w:bidi="ar-SA"/>
    </w:rPr>
  </w:style>
  <w:style w:type="paragraph" w:customStyle="1" w:styleId="410">
    <w:name w:val="_Style 225"/>
    <w:qFormat/>
    <w:uiPriority w:val="0"/>
    <w:pPr>
      <w:widowControl w:val="0"/>
      <w:spacing w:after="120"/>
      <w:ind w:firstLine="420"/>
      <w:jc w:val="both"/>
    </w:pPr>
    <w:rPr>
      <w:rFonts w:ascii="Calibri" w:hAnsi="Calibri" w:eastAsia="楷体_GB2312" w:cs="Times New Roman"/>
      <w:sz w:val="26"/>
      <w:lang w:val="en-US" w:eastAsia="zh-CN" w:bidi="ar-SA"/>
    </w:rPr>
  </w:style>
  <w:style w:type="character" w:customStyle="1" w:styleId="411">
    <w:name w:val="正文文本 字符"/>
    <w:qFormat/>
    <w:uiPriority w:val="0"/>
    <w:rPr>
      <w:rFonts w:ascii="楷体_GB2312" w:eastAsia="楷体_GB2312"/>
      <w:sz w:val="28"/>
    </w:rPr>
  </w:style>
  <w:style w:type="character" w:customStyle="1" w:styleId="412">
    <w:name w:val="正文文本 字符1"/>
    <w:qFormat/>
    <w:uiPriority w:val="0"/>
    <w:rPr>
      <w:rFonts w:ascii="楷体_GB2312" w:eastAsia="楷体_GB2312"/>
      <w:sz w:val="28"/>
    </w:rPr>
  </w:style>
  <w:style w:type="table" w:customStyle="1" w:styleId="413">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4">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5">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6">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417">
    <w:name w:val="正文文本首行缩进 2 字符"/>
    <w:link w:val="22"/>
    <w:semiHidden/>
    <w:qFormat/>
    <w:uiPriority w:val="99"/>
    <w:rPr>
      <w:rFonts w:ascii="Calibri" w:hAnsi="Calibri"/>
      <w:sz w:val="21"/>
      <w:szCs w:val="22"/>
    </w:rPr>
  </w:style>
  <w:style w:type="character" w:customStyle="1" w:styleId="418">
    <w:name w:val="HTML 预设格式 字符1"/>
    <w:basedOn w:val="60"/>
    <w:link w:val="52"/>
    <w:qFormat/>
    <w:uiPriority w:val="0"/>
    <w:rPr>
      <w:rFonts w:hint="eastAsia" w:ascii="黑体" w:hAnsi="Courier New" w:eastAsia="黑体" w:cs="黑体"/>
    </w:rPr>
  </w:style>
  <w:style w:type="paragraph" w:customStyle="1" w:styleId="419">
    <w:name w:val="正文首行缩进11"/>
    <w:basedOn w:val="420"/>
    <w:qFormat/>
    <w:uiPriority w:val="0"/>
    <w:pPr>
      <w:spacing w:line="360" w:lineRule="auto"/>
      <w:ind w:firstLine="200"/>
    </w:pPr>
    <w:rPr>
      <w:rFonts w:ascii="仿宋_GB2312" w:eastAsia="仿宋_GB2312"/>
      <w:sz w:val="30"/>
      <w:szCs w:val="30"/>
    </w:rPr>
  </w:style>
  <w:style w:type="paragraph" w:customStyle="1" w:styleId="420">
    <w:name w:val="正文文本11"/>
    <w:basedOn w:val="1"/>
    <w:next w:val="1"/>
    <w:qFormat/>
    <w:uiPriority w:val="0"/>
    <w:rPr>
      <w:rFonts w:ascii="楷体_GB2312" w:hAnsi="Arial" w:eastAsia="楷体_GB2312"/>
      <w:sz w:val="28"/>
      <w:szCs w:val="28"/>
    </w:rPr>
  </w:style>
  <w:style w:type="paragraph" w:customStyle="1" w:styleId="421">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D3237-13DC-47C3-A1B9-921C7014B04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15690</Words>
  <Characters>16307</Characters>
  <Lines>148</Lines>
  <Paragraphs>41</Paragraphs>
  <TotalTime>62</TotalTime>
  <ScaleCrop>false</ScaleCrop>
  <LinksUpToDate>false</LinksUpToDate>
  <CharactersWithSpaces>16784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2026-01-29T02:09:00Z</dcterms:created>
  <dc:creator>佳得乐</dc:creator>
  <cp:lastModifiedBy>administrator</cp:lastModifiedBy>
  <cp:lastPrinted>2025-03-19T08:44:00Z</cp:lastPrinted>
  <dcterms:modified xsi:type="dcterms:W3CDTF">2026-02-02T01:16:23Z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2D7D1BF2D3A94A9FAB47DB403405C329_13</vt:lpwstr>
  </property>
  <property fmtid="{D5CDD505-2E9C-101B-9397-08002B2CF9AE}" pid="4" name="KSOTemplateDocerSaveRecord">
    <vt:lpwstr>eyJoZGlkIjoiZTY5YTg1NTMyYzA3MmE5NWY4YzYzNGIzZDc4ODEyMDUiLCJ1c2VySWQiOiI3NTI2MjkwOTQifQ==</vt:lpwstr>
  </property>
</Properties>
</file>